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17"/>
        <w:rPr>
          <w:sz w:val="20"/>
        </w:rPr>
      </w:pPr>
      <w:r>
        <w:rPr>
          <w:sz w:val="20"/>
        </w:rPr>
        <w:drawing>
          <wp:inline distT="0" distB="0" distL="0" distR="0">
            <wp:extent cx="486286" cy="61207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286" cy="61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326" w:lineRule="auto" w:before="78"/>
        <w:ind w:left="88" w:right="6892"/>
        <w:jc w:val="center"/>
      </w:pPr>
      <w:r>
        <w:rPr>
          <w:spacing w:val="-2"/>
        </w:rPr>
        <w:t>REPUBLIKAHRVATSKA </w:t>
      </w:r>
      <w:r>
        <w:rPr/>
        <w:t>ISTARSKA ŽUPANIJA</w:t>
      </w:r>
    </w:p>
    <w:p>
      <w:pPr>
        <w:pStyle w:val="Heading1"/>
        <w:spacing w:line="249" w:lineRule="exact"/>
        <w:ind w:left="11" w:right="6903"/>
      </w:pPr>
      <w:r>
        <w:rPr/>
        <w:t>OPĆINA</w:t>
      </w:r>
      <w:r>
        <w:rPr>
          <w:spacing w:val="12"/>
        </w:rPr>
        <w:t> </w:t>
      </w:r>
      <w:r>
        <w:rPr>
          <w:spacing w:val="-2"/>
        </w:rPr>
        <w:t>LANIŠĆE</w:t>
      </w:r>
    </w:p>
    <w:p>
      <w:pPr>
        <w:pStyle w:val="BodyText"/>
        <w:spacing w:before="4"/>
        <w:ind w:left="68" w:right="6892"/>
        <w:jc w:val="center"/>
      </w:pPr>
      <w:r>
        <w:rPr/>
        <w:t>Općinsko</w:t>
      </w:r>
      <w:r>
        <w:rPr>
          <w:spacing w:val="10"/>
        </w:rPr>
        <w:t> </w:t>
      </w:r>
      <w:r>
        <w:rPr>
          <w:spacing w:val="-2"/>
        </w:rPr>
        <w:t>vijeće</w:t>
      </w:r>
    </w:p>
    <w:p>
      <w:pPr>
        <w:pStyle w:val="BodyText"/>
        <w:spacing w:before="15"/>
      </w:pPr>
    </w:p>
    <w:p>
      <w:pPr>
        <w:pStyle w:val="BodyText"/>
        <w:spacing w:line="247" w:lineRule="auto"/>
        <w:ind w:left="172" w:right="6335"/>
      </w:pPr>
      <w:r>
        <w:rPr/>
        <w:t>KLASA: 400-01/25-01/03 URBROJ: 2163-23-01/02-25-</w:t>
      </w:r>
      <w:r>
        <w:rPr/>
        <w:t>14</w:t>
      </w:r>
    </w:p>
    <w:p>
      <w:pPr>
        <w:pStyle w:val="BodyText"/>
        <w:spacing w:line="253" w:lineRule="exact"/>
        <w:ind w:left="172"/>
      </w:pPr>
      <w:r>
        <w:rPr/>
        <w:t>Lanišće,</w:t>
      </w:r>
      <w:r>
        <w:rPr>
          <w:spacing w:val="5"/>
        </w:rPr>
        <w:t> </w:t>
      </w:r>
      <w:r>
        <w:rPr/>
        <w:t>15.</w:t>
      </w:r>
      <w:r>
        <w:rPr>
          <w:spacing w:val="6"/>
        </w:rPr>
        <w:t> </w:t>
      </w:r>
      <w:r>
        <w:rPr/>
        <w:t>prosinac</w:t>
      </w:r>
      <w:r>
        <w:rPr>
          <w:spacing w:val="5"/>
        </w:rPr>
        <w:t> </w:t>
      </w:r>
      <w:r>
        <w:rPr>
          <w:spacing w:val="-2"/>
        </w:rPr>
        <w:t>2025.</w:t>
      </w:r>
    </w:p>
    <w:p>
      <w:pPr>
        <w:pStyle w:val="BodyText"/>
        <w:spacing w:before="12"/>
      </w:pPr>
    </w:p>
    <w:p>
      <w:pPr>
        <w:pStyle w:val="BodyText"/>
        <w:spacing w:line="242" w:lineRule="auto"/>
        <w:ind w:left="218" w:right="486"/>
        <w:jc w:val="both"/>
      </w:pPr>
      <w:r>
        <w:rPr/>
        <w:t>Temeljem članka 67. Zakona o komunalnom gospodarstvu („Narodne novine“ broj 68/18., 110/18., 32/20., 145/24.) i</w:t>
      </w:r>
      <w:r>
        <w:rPr>
          <w:spacing w:val="40"/>
        </w:rPr>
        <w:t> </w:t>
      </w:r>
      <w:r>
        <w:rPr/>
        <w:t>članka</w:t>
      </w:r>
      <w:r>
        <w:rPr>
          <w:spacing w:val="40"/>
        </w:rPr>
        <w:t> </w:t>
      </w:r>
      <w:r>
        <w:rPr/>
        <w:t>41.</w:t>
      </w:r>
      <w:r>
        <w:rPr>
          <w:spacing w:val="40"/>
        </w:rPr>
        <w:t> </w:t>
      </w:r>
      <w:r>
        <w:rPr/>
        <w:t>Statuta</w:t>
      </w:r>
      <w:r>
        <w:rPr>
          <w:spacing w:val="40"/>
        </w:rPr>
        <w:t> </w:t>
      </w:r>
      <w:r>
        <w:rPr/>
        <w:t>Općine</w:t>
      </w:r>
      <w:r>
        <w:rPr>
          <w:spacing w:val="40"/>
        </w:rPr>
        <w:t> </w:t>
      </w:r>
      <w:r>
        <w:rPr/>
        <w:t>Lanišće</w:t>
      </w:r>
      <w:r>
        <w:rPr>
          <w:spacing w:val="40"/>
        </w:rPr>
        <w:t> </w:t>
      </w:r>
      <w:r>
        <w:rPr/>
        <w:t>(“Službene</w:t>
      </w:r>
      <w:r>
        <w:rPr>
          <w:spacing w:val="40"/>
        </w:rPr>
        <w:t> </w:t>
      </w:r>
      <w:r>
        <w:rPr/>
        <w:t>novine</w:t>
      </w:r>
      <w:r>
        <w:rPr>
          <w:spacing w:val="40"/>
        </w:rPr>
        <w:t> </w:t>
      </w:r>
      <w:r>
        <w:rPr/>
        <w:t>Općine</w:t>
      </w:r>
      <w:r>
        <w:rPr>
          <w:spacing w:val="40"/>
        </w:rPr>
        <w:t> </w:t>
      </w:r>
      <w:r>
        <w:rPr/>
        <w:t>Lanišće”, broj 6/17.</w:t>
      </w:r>
      <w:r>
        <w:rPr>
          <w:spacing w:val="-6"/>
        </w:rPr>
        <w:t> </w:t>
      </w:r>
      <w:r>
        <w:rPr/>
        <w:t>i</w:t>
      </w:r>
      <w:r>
        <w:rPr>
          <w:spacing w:val="-4"/>
        </w:rPr>
        <w:t> </w:t>
      </w:r>
      <w:r>
        <w:rPr/>
        <w:t>“Službene</w:t>
      </w:r>
      <w:r>
        <w:rPr>
          <w:spacing w:val="-11"/>
        </w:rPr>
        <w:t> </w:t>
      </w:r>
      <w:r>
        <w:rPr/>
        <w:t>novine</w:t>
      </w:r>
      <w:r>
        <w:rPr>
          <w:spacing w:val="-1"/>
        </w:rPr>
        <w:t> </w:t>
      </w:r>
      <w:r>
        <w:rPr/>
        <w:t>Istarske</w:t>
      </w:r>
      <w:r>
        <w:rPr>
          <w:spacing w:val="-10"/>
        </w:rPr>
        <w:t> </w:t>
      </w:r>
      <w:r>
        <w:rPr/>
        <w:t>županije”,</w:t>
      </w:r>
      <w:r>
        <w:rPr>
          <w:spacing w:val="-4"/>
        </w:rPr>
        <w:t> </w:t>
      </w:r>
      <w:r>
        <w:rPr/>
        <w:t>broj</w:t>
      </w:r>
      <w:r>
        <w:rPr>
          <w:spacing w:val="-11"/>
        </w:rPr>
        <w:t> </w:t>
      </w:r>
      <w:r>
        <w:rPr/>
        <w:t>9/18.,</w:t>
      </w:r>
      <w:r>
        <w:rPr>
          <w:spacing w:val="-9"/>
        </w:rPr>
        <w:t> </w:t>
      </w:r>
      <w:r>
        <w:rPr/>
        <w:t>7/21.,</w:t>
      </w:r>
      <w:r>
        <w:rPr>
          <w:spacing w:val="-4"/>
        </w:rPr>
        <w:t> </w:t>
      </w:r>
      <w:r>
        <w:rPr/>
        <w:t>20/21.</w:t>
      </w:r>
      <w:r>
        <w:rPr>
          <w:spacing w:val="-6"/>
        </w:rPr>
        <w:t> </w:t>
      </w:r>
      <w:r>
        <w:rPr/>
        <w:t>i</w:t>
      </w:r>
      <w:r>
        <w:rPr>
          <w:spacing w:val="-11"/>
        </w:rPr>
        <w:t> </w:t>
      </w:r>
      <w:r>
        <w:rPr/>
        <w:t>22/21.),</w:t>
      </w:r>
      <w:r>
        <w:rPr>
          <w:spacing w:val="38"/>
        </w:rPr>
        <w:t> </w:t>
      </w:r>
      <w:r>
        <w:rPr/>
        <w:t>Općinsko</w:t>
      </w:r>
      <w:r>
        <w:rPr>
          <w:spacing w:val="-6"/>
        </w:rPr>
        <w:t> </w:t>
      </w:r>
      <w:r>
        <w:rPr/>
        <w:t>vijeće</w:t>
      </w:r>
      <w:r>
        <w:rPr>
          <w:spacing w:val="-9"/>
        </w:rPr>
        <w:t> </w:t>
      </w:r>
      <w:r>
        <w:rPr/>
        <w:t>Općine Lanišće na sjednici održanoj 15. prosinca 2025. godine, donosi</w:t>
      </w:r>
    </w:p>
    <w:p>
      <w:pPr>
        <w:pStyle w:val="BodyText"/>
        <w:spacing w:before="31"/>
      </w:pPr>
    </w:p>
    <w:p>
      <w:pPr>
        <w:pStyle w:val="Heading1"/>
        <w:ind w:right="261"/>
      </w:pPr>
      <w:r>
        <w:rPr>
          <w:spacing w:val="-2"/>
        </w:rPr>
        <w:t>PROGRAM</w:t>
      </w:r>
    </w:p>
    <w:p>
      <w:pPr>
        <w:pStyle w:val="Heading2"/>
        <w:spacing w:line="249" w:lineRule="auto" w:before="11"/>
        <w:ind w:left="1830" w:right="2098"/>
        <w:jc w:val="center"/>
      </w:pPr>
      <w:r>
        <w:rPr/>
        <w:t>ulaganja u objekte i uređaje komunalne infrastrukture Općine Lanišće za 2026. godinu</w:t>
      </w: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</w:rPr>
      </w:pPr>
    </w:p>
    <w:p>
      <w:pPr>
        <w:spacing w:before="0"/>
        <w:ind w:left="4264" w:right="0" w:firstLine="0"/>
        <w:jc w:val="both"/>
        <w:rPr>
          <w:b/>
          <w:sz w:val="22"/>
        </w:rPr>
      </w:pPr>
      <w:r>
        <w:rPr>
          <w:b/>
          <w:sz w:val="22"/>
        </w:rPr>
        <w:t>Članak</w:t>
      </w:r>
      <w:r>
        <w:rPr>
          <w:b/>
          <w:spacing w:val="17"/>
          <w:sz w:val="22"/>
        </w:rPr>
        <w:t> </w:t>
      </w:r>
      <w:r>
        <w:rPr>
          <w:b/>
          <w:spacing w:val="-5"/>
          <w:sz w:val="22"/>
        </w:rPr>
        <w:t>1.</w:t>
      </w:r>
    </w:p>
    <w:p>
      <w:pPr>
        <w:pStyle w:val="BodyText"/>
        <w:spacing w:line="244" w:lineRule="auto" w:before="6"/>
        <w:ind w:left="218" w:right="157"/>
        <w:jc w:val="both"/>
      </w:pPr>
      <w:r>
        <w:rPr/>
        <w:t>Program</w:t>
      </w:r>
      <w:r>
        <w:rPr>
          <w:spacing w:val="40"/>
        </w:rPr>
        <w:t> </w:t>
      </w:r>
      <w:r>
        <w:rPr/>
        <w:t>ulaganja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objekte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uređaje</w:t>
      </w:r>
      <w:r>
        <w:rPr>
          <w:spacing w:val="40"/>
        </w:rPr>
        <w:t> </w:t>
      </w:r>
      <w:r>
        <w:rPr/>
        <w:t>komunalne</w:t>
      </w:r>
      <w:r>
        <w:rPr>
          <w:spacing w:val="40"/>
        </w:rPr>
        <w:t> </w:t>
      </w:r>
      <w:r>
        <w:rPr/>
        <w:t>infrastrukture</w:t>
      </w:r>
      <w:r>
        <w:rPr>
          <w:spacing w:val="40"/>
        </w:rPr>
        <w:t> </w:t>
      </w:r>
      <w:r>
        <w:rPr/>
        <w:t>izrađuje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donosi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skladu</w:t>
      </w:r>
      <w:r>
        <w:rPr>
          <w:spacing w:val="40"/>
        </w:rPr>
        <w:t> </w:t>
      </w:r>
      <w:r>
        <w:rPr/>
        <w:t>s izvješćem o stanju u prostoru, potrebama uređenja zemljišta planiranog prostornim planom i</w:t>
      </w:r>
      <w:r>
        <w:rPr>
          <w:spacing w:val="40"/>
        </w:rPr>
        <w:t> </w:t>
      </w:r>
      <w:r>
        <w:rPr/>
        <w:t>planom razvojnih</w:t>
      </w:r>
      <w:r>
        <w:rPr>
          <w:spacing w:val="14"/>
        </w:rPr>
        <w:t> </w:t>
      </w:r>
      <w:r>
        <w:rPr/>
        <w:t>programa koji se donose na temelju</w:t>
      </w:r>
      <w:r>
        <w:rPr>
          <w:spacing w:val="14"/>
        </w:rPr>
        <w:t> </w:t>
      </w:r>
      <w:r>
        <w:rPr/>
        <w:t>posebnih</w:t>
      </w:r>
      <w:r>
        <w:rPr>
          <w:spacing w:val="12"/>
        </w:rPr>
        <w:t> </w:t>
      </w:r>
      <w:r>
        <w:rPr/>
        <w:t>propisa,</w:t>
      </w:r>
      <w:r>
        <w:rPr>
          <w:spacing w:val="12"/>
        </w:rPr>
        <w:t> </w:t>
      </w:r>
      <w:r>
        <w:rPr/>
        <w:t>a vodeći računa o</w:t>
      </w:r>
      <w:r>
        <w:rPr>
          <w:spacing w:val="80"/>
        </w:rPr>
        <w:t> </w:t>
      </w:r>
      <w:r>
        <w:rPr/>
        <w:t>troškovima ulaganja</w:t>
      </w:r>
      <w:r>
        <w:rPr>
          <w:spacing w:val="40"/>
        </w:rPr>
        <w:t> </w:t>
      </w:r>
      <w:r>
        <w:rPr/>
        <w:t>u objekte i uređaje komunalne infrastrukture te financijskim mogućnostima</w:t>
      </w:r>
      <w:r>
        <w:rPr>
          <w:spacing w:val="40"/>
        </w:rPr>
        <w:t> </w:t>
      </w:r>
      <w:r>
        <w:rPr/>
        <w:t>i predvidivim</w:t>
      </w:r>
      <w:r>
        <w:rPr>
          <w:spacing w:val="40"/>
        </w:rPr>
        <w:t> </w:t>
      </w:r>
      <w:r>
        <w:rPr/>
        <w:t>izvorima prihoda</w:t>
      </w:r>
      <w:r>
        <w:rPr>
          <w:spacing w:val="40"/>
        </w:rPr>
        <w:t> </w:t>
      </w:r>
      <w:r>
        <w:rPr/>
        <w:t>financiranja</w:t>
      </w:r>
      <w:r>
        <w:rPr>
          <w:spacing w:val="40"/>
        </w:rPr>
        <w:t> </w:t>
      </w:r>
      <w:r>
        <w:rPr/>
        <w:t>njezina</w:t>
      </w:r>
      <w:r>
        <w:rPr>
          <w:spacing w:val="40"/>
        </w:rPr>
        <w:t> </w:t>
      </w:r>
      <w:r>
        <w:rPr/>
        <w:t>ulaganja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objekte</w:t>
      </w:r>
      <w:r>
        <w:rPr>
          <w:spacing w:val="40"/>
        </w:rPr>
        <w:t> </w:t>
      </w:r>
      <w:r>
        <w:rPr/>
        <w:t>i</w:t>
      </w:r>
      <w:r>
        <w:rPr>
          <w:spacing w:val="80"/>
        </w:rPr>
        <w:t> </w:t>
      </w:r>
      <w:r>
        <w:rPr/>
        <w:t>uređaje</w:t>
      </w:r>
      <w:r>
        <w:rPr>
          <w:spacing w:val="40"/>
        </w:rPr>
        <w:t> </w:t>
      </w:r>
      <w:r>
        <w:rPr/>
        <w:t>komunalne</w:t>
      </w:r>
      <w:r>
        <w:rPr>
          <w:spacing w:val="80"/>
        </w:rPr>
        <w:t> </w:t>
      </w:r>
      <w:r>
        <w:rPr/>
        <w:t>infrastrukture.</w:t>
      </w:r>
    </w:p>
    <w:p>
      <w:pPr>
        <w:pStyle w:val="BodyText"/>
        <w:spacing w:before="12"/>
      </w:pPr>
    </w:p>
    <w:p>
      <w:pPr>
        <w:pStyle w:val="BodyText"/>
        <w:ind w:left="218"/>
      </w:pPr>
      <w:r>
        <w:rPr/>
        <w:t>Programom</w:t>
      </w:r>
      <w:r>
        <w:rPr>
          <w:spacing w:val="10"/>
        </w:rPr>
        <w:t> </w:t>
      </w:r>
      <w:r>
        <w:rPr/>
        <w:t>gradnje</w:t>
      </w:r>
      <w:r>
        <w:rPr>
          <w:spacing w:val="10"/>
        </w:rPr>
        <w:t> </w:t>
      </w:r>
      <w:r>
        <w:rPr/>
        <w:t>prema</w:t>
      </w:r>
      <w:r>
        <w:rPr>
          <w:spacing w:val="12"/>
        </w:rPr>
        <w:t> </w:t>
      </w:r>
      <w:r>
        <w:rPr/>
        <w:t>Zakonu</w:t>
      </w:r>
      <w:r>
        <w:rPr>
          <w:spacing w:val="10"/>
        </w:rPr>
        <w:t> </w:t>
      </w:r>
      <w:r>
        <w:rPr/>
        <w:t>o</w:t>
      </w:r>
      <w:r>
        <w:rPr>
          <w:spacing w:val="10"/>
        </w:rPr>
        <w:t> </w:t>
      </w:r>
      <w:r>
        <w:rPr/>
        <w:t>komunalnom</w:t>
      </w:r>
      <w:r>
        <w:rPr>
          <w:spacing w:val="8"/>
        </w:rPr>
        <w:t> </w:t>
      </w:r>
      <w:r>
        <w:rPr/>
        <w:t>gospodarstvu</w:t>
      </w:r>
      <w:r>
        <w:rPr>
          <w:spacing w:val="13"/>
        </w:rPr>
        <w:t> </w:t>
      </w:r>
      <w:r>
        <w:rPr/>
        <w:t>određuju</w:t>
      </w:r>
      <w:r>
        <w:rPr>
          <w:spacing w:val="12"/>
        </w:rPr>
        <w:t> </w:t>
      </w:r>
      <w:r>
        <w:rPr>
          <w:spacing w:val="-5"/>
        </w:rPr>
        <w:t>se: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44" w:lineRule="auto" w:before="6" w:after="0"/>
        <w:ind w:left="895" w:right="138" w:hanging="339"/>
        <w:jc w:val="left"/>
        <w:rPr>
          <w:sz w:val="22"/>
        </w:rPr>
      </w:pPr>
      <w:r>
        <w:rPr>
          <w:sz w:val="22"/>
        </w:rPr>
        <w:t>građevine</w:t>
      </w:r>
      <w:r>
        <w:rPr>
          <w:spacing w:val="80"/>
          <w:sz w:val="22"/>
        </w:rPr>
        <w:t> </w:t>
      </w:r>
      <w:r>
        <w:rPr>
          <w:sz w:val="22"/>
        </w:rPr>
        <w:t>komunalne</w:t>
      </w:r>
      <w:r>
        <w:rPr>
          <w:spacing w:val="80"/>
          <w:sz w:val="22"/>
        </w:rPr>
        <w:t> </w:t>
      </w:r>
      <w:r>
        <w:rPr>
          <w:sz w:val="22"/>
        </w:rPr>
        <w:t>infrastrukture</w:t>
      </w:r>
      <w:r>
        <w:rPr>
          <w:spacing w:val="80"/>
          <w:sz w:val="22"/>
        </w:rPr>
        <w:t> </w:t>
      </w:r>
      <w:r>
        <w:rPr>
          <w:sz w:val="22"/>
        </w:rPr>
        <w:t>koje</w:t>
      </w:r>
      <w:r>
        <w:rPr>
          <w:spacing w:val="80"/>
          <w:sz w:val="22"/>
        </w:rPr>
        <w:t> </w:t>
      </w:r>
      <w:r>
        <w:rPr>
          <w:sz w:val="22"/>
        </w:rPr>
        <w:t>će</w:t>
      </w:r>
      <w:r>
        <w:rPr>
          <w:spacing w:val="80"/>
          <w:sz w:val="22"/>
        </w:rPr>
        <w:t> </w:t>
      </w:r>
      <w:r>
        <w:rPr>
          <w:sz w:val="22"/>
        </w:rPr>
        <w:t>se</w:t>
      </w:r>
      <w:r>
        <w:rPr>
          <w:spacing w:val="80"/>
          <w:sz w:val="22"/>
        </w:rPr>
        <w:t> </w:t>
      </w:r>
      <w:r>
        <w:rPr>
          <w:sz w:val="22"/>
        </w:rPr>
        <w:t>graditi</w:t>
      </w:r>
      <w:r>
        <w:rPr>
          <w:spacing w:val="80"/>
          <w:sz w:val="22"/>
        </w:rPr>
        <w:t> </w:t>
      </w:r>
      <w:r>
        <w:rPr>
          <w:sz w:val="22"/>
        </w:rPr>
        <w:t>radi</w:t>
      </w:r>
      <w:r>
        <w:rPr>
          <w:spacing w:val="80"/>
          <w:sz w:val="22"/>
        </w:rPr>
        <w:t> </w:t>
      </w:r>
      <w:r>
        <w:rPr>
          <w:sz w:val="22"/>
        </w:rPr>
        <w:t>uređenja</w:t>
      </w:r>
      <w:r>
        <w:rPr>
          <w:spacing w:val="80"/>
          <w:sz w:val="22"/>
        </w:rPr>
        <w:t> </w:t>
      </w:r>
      <w:r>
        <w:rPr>
          <w:sz w:val="22"/>
        </w:rPr>
        <w:t>neuređenih</w:t>
      </w:r>
      <w:r>
        <w:rPr>
          <w:spacing w:val="80"/>
          <w:sz w:val="22"/>
        </w:rPr>
        <w:t> </w:t>
      </w:r>
      <w:r>
        <w:rPr>
          <w:sz w:val="22"/>
        </w:rPr>
        <w:t>dijelova građevinskog područja,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44" w:lineRule="auto" w:before="3" w:after="0"/>
        <w:ind w:left="895" w:right="141" w:hanging="339"/>
        <w:jc w:val="left"/>
        <w:rPr>
          <w:sz w:val="22"/>
        </w:rPr>
      </w:pPr>
      <w:r>
        <w:rPr>
          <w:sz w:val="22"/>
        </w:rPr>
        <w:t>građevine</w:t>
      </w:r>
      <w:r>
        <w:rPr>
          <w:spacing w:val="40"/>
          <w:sz w:val="22"/>
        </w:rPr>
        <w:t> </w:t>
      </w:r>
      <w:r>
        <w:rPr>
          <w:sz w:val="22"/>
        </w:rPr>
        <w:t>komunalne</w:t>
      </w:r>
      <w:r>
        <w:rPr>
          <w:spacing w:val="40"/>
          <w:sz w:val="22"/>
        </w:rPr>
        <w:t> </w:t>
      </w:r>
      <w:r>
        <w:rPr>
          <w:sz w:val="22"/>
        </w:rPr>
        <w:t>infrastrukture</w:t>
      </w:r>
      <w:r>
        <w:rPr>
          <w:spacing w:val="40"/>
          <w:sz w:val="22"/>
        </w:rPr>
        <w:t> </w:t>
      </w:r>
      <w:r>
        <w:rPr>
          <w:sz w:val="22"/>
        </w:rPr>
        <w:t>koje</w:t>
      </w:r>
      <w:r>
        <w:rPr>
          <w:spacing w:val="40"/>
          <w:sz w:val="22"/>
        </w:rPr>
        <w:t> </w:t>
      </w:r>
      <w:r>
        <w:rPr>
          <w:sz w:val="22"/>
        </w:rPr>
        <w:t>će</w:t>
      </w:r>
      <w:r>
        <w:rPr>
          <w:spacing w:val="40"/>
          <w:sz w:val="22"/>
        </w:rPr>
        <w:t> </w:t>
      </w:r>
      <w:r>
        <w:rPr>
          <w:sz w:val="22"/>
        </w:rPr>
        <w:t>se</w:t>
      </w:r>
      <w:r>
        <w:rPr>
          <w:spacing w:val="72"/>
          <w:sz w:val="22"/>
        </w:rPr>
        <w:t> </w:t>
      </w:r>
      <w:r>
        <w:rPr>
          <w:sz w:val="22"/>
        </w:rPr>
        <w:t>graditi</w:t>
      </w:r>
      <w:r>
        <w:rPr>
          <w:spacing w:val="40"/>
          <w:sz w:val="22"/>
        </w:rPr>
        <w:t> </w:t>
      </w:r>
      <w:r>
        <w:rPr>
          <w:sz w:val="22"/>
        </w:rPr>
        <w:t>u</w:t>
      </w:r>
      <w:r>
        <w:rPr>
          <w:spacing w:val="40"/>
          <w:sz w:val="22"/>
        </w:rPr>
        <w:t> </w:t>
      </w:r>
      <w:r>
        <w:rPr>
          <w:sz w:val="22"/>
        </w:rPr>
        <w:t>uređenim</w:t>
      </w:r>
      <w:r>
        <w:rPr>
          <w:spacing w:val="40"/>
          <w:sz w:val="22"/>
        </w:rPr>
        <w:t> </w:t>
      </w:r>
      <w:r>
        <w:rPr>
          <w:sz w:val="22"/>
        </w:rPr>
        <w:t>dijelovima</w:t>
      </w:r>
      <w:r>
        <w:rPr>
          <w:spacing w:val="40"/>
          <w:sz w:val="22"/>
        </w:rPr>
        <w:t> </w:t>
      </w:r>
      <w:r>
        <w:rPr>
          <w:sz w:val="22"/>
        </w:rPr>
        <w:t>građevinskog</w:t>
      </w:r>
      <w:r>
        <w:rPr>
          <w:spacing w:val="40"/>
          <w:sz w:val="22"/>
        </w:rPr>
        <w:t> </w:t>
      </w:r>
      <w:r>
        <w:rPr>
          <w:spacing w:val="-2"/>
          <w:sz w:val="22"/>
        </w:rPr>
        <w:t>područja,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4" w:after="0"/>
        <w:ind w:left="893" w:right="0" w:hanging="337"/>
        <w:jc w:val="left"/>
        <w:rPr>
          <w:sz w:val="22"/>
        </w:rPr>
      </w:pPr>
      <w:r>
        <w:rPr>
          <w:sz w:val="22"/>
        </w:rPr>
        <w:t>građevine</w:t>
      </w:r>
      <w:r>
        <w:rPr>
          <w:spacing w:val="9"/>
          <w:sz w:val="22"/>
        </w:rPr>
        <w:t> </w:t>
      </w:r>
      <w:r>
        <w:rPr>
          <w:sz w:val="22"/>
        </w:rPr>
        <w:t>komunalne</w:t>
      </w:r>
      <w:r>
        <w:rPr>
          <w:spacing w:val="11"/>
          <w:sz w:val="22"/>
        </w:rPr>
        <w:t> </w:t>
      </w:r>
      <w:r>
        <w:rPr>
          <w:sz w:val="22"/>
        </w:rPr>
        <w:t>infrastrukture</w:t>
      </w:r>
      <w:r>
        <w:rPr>
          <w:spacing w:val="7"/>
          <w:sz w:val="22"/>
        </w:rPr>
        <w:t> </w:t>
      </w:r>
      <w:r>
        <w:rPr>
          <w:sz w:val="22"/>
        </w:rPr>
        <w:t>koje</w:t>
      </w:r>
      <w:r>
        <w:rPr>
          <w:spacing w:val="10"/>
          <w:sz w:val="22"/>
        </w:rPr>
        <w:t> </w:t>
      </w:r>
      <w:r>
        <w:rPr>
          <w:sz w:val="22"/>
        </w:rPr>
        <w:t>će</w:t>
      </w:r>
      <w:r>
        <w:rPr>
          <w:spacing w:val="8"/>
          <w:sz w:val="22"/>
        </w:rPr>
        <w:t> </w:t>
      </w:r>
      <w:r>
        <w:rPr>
          <w:sz w:val="22"/>
        </w:rPr>
        <w:t>se</w:t>
      </w:r>
      <w:r>
        <w:rPr>
          <w:spacing w:val="10"/>
          <w:sz w:val="22"/>
        </w:rPr>
        <w:t> </w:t>
      </w:r>
      <w:r>
        <w:rPr>
          <w:sz w:val="22"/>
        </w:rPr>
        <w:t>graditi</w:t>
      </w:r>
      <w:r>
        <w:rPr>
          <w:spacing w:val="11"/>
          <w:sz w:val="22"/>
        </w:rPr>
        <w:t> </w:t>
      </w:r>
      <w:r>
        <w:rPr>
          <w:sz w:val="22"/>
        </w:rPr>
        <w:t>izvan</w:t>
      </w:r>
      <w:r>
        <w:rPr>
          <w:spacing w:val="4"/>
          <w:sz w:val="22"/>
        </w:rPr>
        <w:t> </w:t>
      </w:r>
      <w:r>
        <w:rPr>
          <w:sz w:val="22"/>
        </w:rPr>
        <w:t>građevinskog</w:t>
      </w:r>
      <w:r>
        <w:rPr>
          <w:spacing w:val="11"/>
          <w:sz w:val="22"/>
        </w:rPr>
        <w:t> </w:t>
      </w:r>
      <w:r>
        <w:rPr>
          <w:spacing w:val="-2"/>
          <w:sz w:val="22"/>
        </w:rPr>
        <w:t>područja,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7" w:after="0"/>
        <w:ind w:left="893" w:right="0" w:hanging="337"/>
        <w:jc w:val="left"/>
        <w:rPr>
          <w:sz w:val="22"/>
        </w:rPr>
      </w:pPr>
      <w:r>
        <w:rPr>
          <w:sz w:val="22"/>
        </w:rPr>
        <w:t>postojeće</w:t>
      </w:r>
      <w:r>
        <w:rPr>
          <w:spacing w:val="3"/>
          <w:sz w:val="22"/>
        </w:rPr>
        <w:t> </w:t>
      </w:r>
      <w:r>
        <w:rPr>
          <w:sz w:val="22"/>
        </w:rPr>
        <w:t>građevine</w:t>
      </w:r>
      <w:r>
        <w:rPr>
          <w:spacing w:val="8"/>
          <w:sz w:val="22"/>
        </w:rPr>
        <w:t> </w:t>
      </w:r>
      <w:r>
        <w:rPr>
          <w:sz w:val="22"/>
        </w:rPr>
        <w:t>komunalne</w:t>
      </w:r>
      <w:r>
        <w:rPr>
          <w:spacing w:val="7"/>
          <w:sz w:val="22"/>
        </w:rPr>
        <w:t> </w:t>
      </w:r>
      <w:r>
        <w:rPr>
          <w:sz w:val="22"/>
        </w:rPr>
        <w:t>infrastrukture</w:t>
      </w:r>
      <w:r>
        <w:rPr>
          <w:spacing w:val="7"/>
          <w:sz w:val="22"/>
        </w:rPr>
        <w:t> </w:t>
      </w:r>
      <w:r>
        <w:rPr>
          <w:sz w:val="22"/>
        </w:rPr>
        <w:t>koje</w:t>
      </w:r>
      <w:r>
        <w:rPr>
          <w:spacing w:val="8"/>
          <w:sz w:val="22"/>
        </w:rPr>
        <w:t> </w:t>
      </w:r>
      <w:r>
        <w:rPr>
          <w:sz w:val="22"/>
        </w:rPr>
        <w:t>će</w:t>
      </w:r>
      <w:r>
        <w:rPr>
          <w:spacing w:val="9"/>
          <w:sz w:val="22"/>
        </w:rPr>
        <w:t> </w:t>
      </w:r>
      <w:r>
        <w:rPr>
          <w:sz w:val="22"/>
        </w:rPr>
        <w:t>se</w:t>
      </w:r>
      <w:r>
        <w:rPr>
          <w:spacing w:val="7"/>
          <w:sz w:val="22"/>
        </w:rPr>
        <w:t> </w:t>
      </w:r>
      <w:r>
        <w:rPr>
          <w:sz w:val="22"/>
        </w:rPr>
        <w:t>rekonstruirati</w:t>
      </w:r>
      <w:r>
        <w:rPr>
          <w:spacing w:val="7"/>
          <w:sz w:val="22"/>
        </w:rPr>
        <w:t> </w:t>
      </w:r>
      <w:r>
        <w:rPr>
          <w:sz w:val="22"/>
        </w:rPr>
        <w:t>i</w:t>
      </w:r>
      <w:r>
        <w:rPr>
          <w:spacing w:val="7"/>
          <w:sz w:val="22"/>
        </w:rPr>
        <w:t> </w:t>
      </w:r>
      <w:r>
        <w:rPr>
          <w:sz w:val="22"/>
        </w:rPr>
        <w:t>način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rekonstrukcije,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6" w:after="0"/>
        <w:ind w:left="893" w:right="0" w:hanging="337"/>
        <w:jc w:val="left"/>
        <w:rPr>
          <w:sz w:val="22"/>
        </w:rPr>
      </w:pPr>
      <w:r>
        <w:rPr>
          <w:sz w:val="22"/>
        </w:rPr>
        <w:t>građevine</w:t>
      </w:r>
      <w:r>
        <w:rPr>
          <w:spacing w:val="7"/>
          <w:sz w:val="22"/>
        </w:rPr>
        <w:t> </w:t>
      </w:r>
      <w:r>
        <w:rPr>
          <w:sz w:val="22"/>
        </w:rPr>
        <w:t>komunalne</w:t>
      </w:r>
      <w:r>
        <w:rPr>
          <w:spacing w:val="11"/>
          <w:sz w:val="22"/>
        </w:rPr>
        <w:t> </w:t>
      </w:r>
      <w:r>
        <w:rPr>
          <w:sz w:val="22"/>
        </w:rPr>
        <w:t>infrastrukture</w:t>
      </w:r>
      <w:r>
        <w:rPr>
          <w:spacing w:val="7"/>
          <w:sz w:val="22"/>
        </w:rPr>
        <w:t> </w:t>
      </w:r>
      <w:r>
        <w:rPr>
          <w:sz w:val="22"/>
        </w:rPr>
        <w:t>koje</w:t>
      </w:r>
      <w:r>
        <w:rPr>
          <w:spacing w:val="10"/>
          <w:sz w:val="22"/>
        </w:rPr>
        <w:t> </w:t>
      </w:r>
      <w:r>
        <w:rPr>
          <w:sz w:val="22"/>
        </w:rPr>
        <w:t>će</w:t>
      </w:r>
      <w:r>
        <w:rPr>
          <w:spacing w:val="8"/>
          <w:sz w:val="22"/>
        </w:rPr>
        <w:t> </w:t>
      </w:r>
      <w:r>
        <w:rPr>
          <w:sz w:val="22"/>
        </w:rPr>
        <w:t>se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uklanjati,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6" w:after="0"/>
        <w:ind w:left="893" w:right="0" w:hanging="337"/>
        <w:jc w:val="left"/>
        <w:rPr>
          <w:sz w:val="22"/>
        </w:rPr>
      </w:pPr>
      <w:r>
        <w:rPr>
          <w:sz w:val="22"/>
        </w:rPr>
        <w:t>druga</w:t>
      </w:r>
      <w:r>
        <w:rPr>
          <w:spacing w:val="5"/>
          <w:sz w:val="22"/>
        </w:rPr>
        <w:t> </w:t>
      </w:r>
      <w:r>
        <w:rPr>
          <w:sz w:val="22"/>
        </w:rPr>
        <w:t>pitanja</w:t>
      </w:r>
      <w:r>
        <w:rPr>
          <w:spacing w:val="8"/>
          <w:sz w:val="22"/>
        </w:rPr>
        <w:t> </w:t>
      </w:r>
      <w:r>
        <w:rPr>
          <w:sz w:val="22"/>
        </w:rPr>
        <w:t>određena</w:t>
      </w:r>
      <w:r>
        <w:rPr>
          <w:spacing w:val="8"/>
          <w:sz w:val="22"/>
        </w:rPr>
        <w:t> </w:t>
      </w:r>
      <w:r>
        <w:rPr>
          <w:sz w:val="22"/>
        </w:rPr>
        <w:t>ovim</w:t>
      </w:r>
      <w:r>
        <w:rPr>
          <w:spacing w:val="9"/>
          <w:sz w:val="22"/>
        </w:rPr>
        <w:t> </w:t>
      </w:r>
      <w:r>
        <w:rPr>
          <w:sz w:val="22"/>
        </w:rPr>
        <w:t>Zakonom</w:t>
      </w:r>
      <w:r>
        <w:rPr>
          <w:spacing w:val="8"/>
          <w:sz w:val="22"/>
        </w:rPr>
        <w:t> </w:t>
      </w:r>
      <w:r>
        <w:rPr>
          <w:sz w:val="22"/>
        </w:rPr>
        <w:t>i</w:t>
      </w:r>
      <w:r>
        <w:rPr>
          <w:spacing w:val="7"/>
          <w:sz w:val="22"/>
        </w:rPr>
        <w:t> </w:t>
      </w:r>
      <w:r>
        <w:rPr>
          <w:sz w:val="22"/>
        </w:rPr>
        <w:t>posebnim</w:t>
      </w:r>
      <w:r>
        <w:rPr>
          <w:spacing w:val="11"/>
          <w:sz w:val="22"/>
        </w:rPr>
        <w:t> </w:t>
      </w:r>
      <w:r>
        <w:rPr>
          <w:spacing w:val="-2"/>
          <w:sz w:val="22"/>
        </w:rPr>
        <w:t>zakonom.</w:t>
      </w:r>
    </w:p>
    <w:p>
      <w:pPr>
        <w:pStyle w:val="BodyText"/>
        <w:spacing w:before="12"/>
      </w:pPr>
    </w:p>
    <w:p>
      <w:pPr>
        <w:pStyle w:val="Heading2"/>
        <w:spacing w:before="1"/>
        <w:ind w:left="4440"/>
      </w:pPr>
      <w:r>
        <w:rPr/>
        <w:t>Članak</w:t>
      </w:r>
      <w:r>
        <w:rPr>
          <w:spacing w:val="16"/>
        </w:rPr>
        <w:t> </w:t>
      </w:r>
      <w:r>
        <w:rPr>
          <w:spacing w:val="-5"/>
        </w:rPr>
        <w:t>2.</w:t>
      </w:r>
    </w:p>
    <w:p>
      <w:pPr>
        <w:pStyle w:val="BodyText"/>
        <w:spacing w:line="244" w:lineRule="auto" w:before="6"/>
        <w:ind w:left="218" w:right="135"/>
        <w:jc w:val="both"/>
      </w:pPr>
      <w:r>
        <w:rPr/>
        <w:t>Sredstva potrebna za ostvarenje Programa ulaganja u objekte i uređaje komunalne</w:t>
      </w:r>
      <w:r>
        <w:rPr>
          <w:spacing w:val="80"/>
        </w:rPr>
        <w:t>  </w:t>
      </w:r>
      <w:r>
        <w:rPr/>
        <w:t>infrastrukture</w:t>
      </w:r>
      <w:r>
        <w:rPr>
          <w:spacing w:val="40"/>
        </w:rPr>
        <w:t> </w:t>
      </w:r>
      <w:r>
        <w:rPr/>
        <w:t>za 2026.</w:t>
      </w:r>
      <w:r>
        <w:rPr>
          <w:spacing w:val="40"/>
        </w:rPr>
        <w:t> </w:t>
      </w:r>
      <w:r>
        <w:rPr/>
        <w:t>godinu</w:t>
      </w:r>
      <w:r>
        <w:rPr>
          <w:spacing w:val="40"/>
        </w:rPr>
        <w:t> </w:t>
      </w:r>
      <w:r>
        <w:rPr/>
        <w:t>osigurat</w:t>
      </w:r>
      <w:r>
        <w:rPr>
          <w:spacing w:val="40"/>
        </w:rPr>
        <w:t> </w:t>
      </w:r>
      <w:r>
        <w:rPr/>
        <w:t>će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iz</w:t>
      </w:r>
      <w:r>
        <w:rPr>
          <w:spacing w:val="40"/>
        </w:rPr>
        <w:t> </w:t>
      </w:r>
      <w:r>
        <w:rPr/>
        <w:t>prihoda</w:t>
      </w:r>
      <w:r>
        <w:rPr>
          <w:spacing w:val="40"/>
        </w:rPr>
        <w:t> </w:t>
      </w:r>
      <w:r>
        <w:rPr/>
        <w:t>od</w:t>
      </w:r>
      <w:r>
        <w:rPr>
          <w:spacing w:val="40"/>
        </w:rPr>
        <w:t> </w:t>
      </w:r>
      <w:r>
        <w:rPr/>
        <w:t>komunalnog</w:t>
      </w:r>
      <w:r>
        <w:rPr>
          <w:spacing w:val="40"/>
        </w:rPr>
        <w:t> </w:t>
      </w:r>
      <w:r>
        <w:rPr/>
        <w:t>doprinosa,</w:t>
      </w:r>
      <w:r>
        <w:rPr>
          <w:spacing w:val="40"/>
        </w:rPr>
        <w:t> </w:t>
      </w:r>
      <w:r>
        <w:rPr/>
        <w:t>pomoći,</w:t>
      </w:r>
      <w:r>
        <w:rPr>
          <w:spacing w:val="40"/>
        </w:rPr>
        <w:t> </w:t>
      </w:r>
      <w:r>
        <w:rPr/>
        <w:t>prihoda od prodaja nekretnina, te ostalih prihoda proračuna Općine Lanišće.</w:t>
      </w:r>
    </w:p>
    <w:p>
      <w:pPr>
        <w:pStyle w:val="BodyText"/>
        <w:spacing w:line="247" w:lineRule="auto" w:before="3"/>
        <w:ind w:left="218" w:right="130"/>
        <w:jc w:val="both"/>
      </w:pPr>
      <w:r>
        <w:rPr/>
        <w:t>Planirana sredstva za financiranje Programa ulaganja u objekte i uređaje komunalne</w:t>
      </w:r>
      <w:r>
        <w:rPr>
          <w:spacing w:val="80"/>
        </w:rPr>
        <w:t> </w:t>
      </w:r>
      <w:r>
        <w:rPr/>
        <w:t>infrastrukture</w:t>
      </w:r>
      <w:r>
        <w:rPr>
          <w:spacing w:val="40"/>
        </w:rPr>
        <w:t> </w:t>
      </w:r>
      <w:r>
        <w:rPr/>
        <w:t>za 2026.</w:t>
      </w:r>
      <w:r>
        <w:rPr>
          <w:spacing w:val="40"/>
        </w:rPr>
        <w:t> </w:t>
      </w:r>
      <w:r>
        <w:rPr/>
        <w:t>godine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iznosu</w:t>
      </w:r>
      <w:r>
        <w:rPr>
          <w:spacing w:val="40"/>
        </w:rPr>
        <w:t> </w:t>
      </w:r>
      <w:r>
        <w:rPr/>
        <w:t>od</w:t>
      </w:r>
      <w:r>
        <w:rPr>
          <w:spacing w:val="40"/>
        </w:rPr>
        <w:t> </w:t>
      </w:r>
      <w:r>
        <w:rPr>
          <w:b/>
        </w:rPr>
        <w:t>191.400,00</w:t>
      </w:r>
      <w:r>
        <w:rPr>
          <w:b/>
          <w:spacing w:val="40"/>
        </w:rPr>
        <w:t> </w:t>
      </w:r>
      <w:r>
        <w:rPr>
          <w:b/>
        </w:rPr>
        <w:t>EUR</w:t>
      </w:r>
      <w:r>
        <w:rPr>
          <w:b/>
          <w:spacing w:val="40"/>
        </w:rPr>
        <w:t> </w:t>
      </w:r>
      <w:r>
        <w:rPr/>
        <w:t>rasporedit</w:t>
      </w:r>
      <w:r>
        <w:rPr>
          <w:spacing w:val="40"/>
        </w:rPr>
        <w:t> </w:t>
      </w:r>
      <w:r>
        <w:rPr/>
        <w:t>će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za</w:t>
      </w:r>
      <w:r>
        <w:rPr>
          <w:spacing w:val="40"/>
        </w:rPr>
        <w:t> </w:t>
      </w:r>
      <w:r>
        <w:rPr/>
        <w:t>financiranje</w:t>
      </w:r>
      <w:r>
        <w:rPr>
          <w:spacing w:val="80"/>
        </w:rPr>
        <w:t> </w:t>
      </w:r>
      <w:r>
        <w:rPr/>
        <w:t>sljedećih aktivnosti: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53" w:lineRule="exact" w:before="0" w:after="0"/>
        <w:ind w:left="893" w:right="0" w:hanging="337"/>
        <w:jc w:val="both"/>
        <w:rPr>
          <w:i/>
          <w:sz w:val="22"/>
        </w:rPr>
      </w:pPr>
      <w:r>
        <w:rPr>
          <w:i/>
          <w:sz w:val="22"/>
        </w:rPr>
        <w:t>Asfaltiranje nerazvrstanih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cesta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području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Općine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6" w:after="0"/>
        <w:ind w:left="893" w:right="0" w:hanging="337"/>
        <w:jc w:val="both"/>
        <w:rPr>
          <w:i/>
          <w:sz w:val="22"/>
        </w:rPr>
      </w:pPr>
      <w:r>
        <w:rPr>
          <w:i/>
          <w:sz w:val="22"/>
        </w:rPr>
        <w:t>Proširenje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javne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rasvjete,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44" w:lineRule="auto" w:before="7" w:after="0"/>
        <w:ind w:left="895" w:right="140" w:hanging="339"/>
        <w:jc w:val="both"/>
        <w:rPr>
          <w:i/>
          <w:sz w:val="22"/>
        </w:rPr>
      </w:pPr>
      <w:r>
        <w:rPr>
          <w:i/>
          <w:sz w:val="22"/>
        </w:rPr>
        <w:t>Zamjena (rekonstrukcija) postojeće javne rasvjete ekološki prihvatljivom LED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rasvjetom na području Općine Lanišće,</w:t>
      </w:r>
    </w:p>
    <w:p>
      <w:pPr>
        <w:pStyle w:val="ListParagraph"/>
        <w:spacing w:after="0" w:line="244" w:lineRule="auto"/>
        <w:jc w:val="both"/>
        <w:rPr>
          <w:i/>
          <w:sz w:val="22"/>
        </w:rPr>
        <w:sectPr>
          <w:type w:val="continuous"/>
          <w:pgSz w:w="12240" w:h="15840"/>
          <w:pgMar w:top="920" w:bottom="280" w:left="1440" w:right="1080"/>
        </w:sectPr>
      </w:pPr>
    </w:p>
    <w:p>
      <w:pPr>
        <w:pStyle w:val="Heading2"/>
        <w:spacing w:before="70"/>
        <w:ind w:left="11"/>
        <w:jc w:val="center"/>
      </w:pPr>
      <w:r>
        <w:rPr/>
        <w:t>Članak</w:t>
      </w:r>
      <w:r>
        <w:rPr>
          <w:spacing w:val="16"/>
        </w:rPr>
        <w:t> </w:t>
      </w:r>
      <w:r>
        <w:rPr>
          <w:spacing w:val="-5"/>
        </w:rPr>
        <w:t>3.</w:t>
      </w:r>
    </w:p>
    <w:p>
      <w:pPr>
        <w:spacing w:before="7"/>
        <w:ind w:left="143" w:right="0" w:firstLine="0"/>
        <w:jc w:val="both"/>
        <w:rPr>
          <w:sz w:val="22"/>
        </w:rPr>
      </w:pPr>
      <w:r>
        <w:rPr>
          <w:sz w:val="22"/>
        </w:rPr>
        <w:t>U</w:t>
      </w:r>
      <w:r>
        <w:rPr>
          <w:spacing w:val="-3"/>
          <w:sz w:val="22"/>
        </w:rPr>
        <w:t> </w:t>
      </w:r>
      <w:r>
        <w:rPr>
          <w:sz w:val="22"/>
        </w:rPr>
        <w:t>2026.</w:t>
      </w:r>
      <w:r>
        <w:rPr>
          <w:spacing w:val="3"/>
          <w:sz w:val="22"/>
        </w:rPr>
        <w:t> </w:t>
      </w:r>
      <w:r>
        <w:rPr>
          <w:sz w:val="22"/>
        </w:rPr>
        <w:t>godini</w:t>
      </w:r>
      <w:r>
        <w:rPr>
          <w:spacing w:val="2"/>
          <w:sz w:val="22"/>
        </w:rPr>
        <w:t> </w:t>
      </w:r>
      <w:r>
        <w:rPr>
          <w:sz w:val="22"/>
        </w:rPr>
        <w:t>planirana</w:t>
      </w:r>
      <w:r>
        <w:rPr>
          <w:spacing w:val="3"/>
          <w:sz w:val="22"/>
        </w:rPr>
        <w:t> </w:t>
      </w:r>
      <w:r>
        <w:rPr>
          <w:sz w:val="22"/>
        </w:rPr>
        <w:t>su</w:t>
      </w:r>
      <w:r>
        <w:rPr>
          <w:spacing w:val="3"/>
          <w:sz w:val="22"/>
        </w:rPr>
        <w:t> </w:t>
      </w:r>
      <w:r>
        <w:rPr>
          <w:sz w:val="22"/>
        </w:rPr>
        <w:t>sredstva</w:t>
      </w:r>
      <w:r>
        <w:rPr>
          <w:spacing w:val="2"/>
          <w:sz w:val="22"/>
        </w:rPr>
        <w:t> </w:t>
      </w:r>
      <w:r>
        <w:rPr>
          <w:sz w:val="22"/>
        </w:rPr>
        <w:t>za</w:t>
      </w:r>
      <w:r>
        <w:rPr>
          <w:spacing w:val="-5"/>
          <w:sz w:val="22"/>
        </w:rPr>
        <w:t> </w:t>
      </w:r>
      <w:r>
        <w:rPr>
          <w:sz w:val="22"/>
        </w:rPr>
        <w:t>aktivnost</w:t>
      </w:r>
      <w:r>
        <w:rPr>
          <w:spacing w:val="-13"/>
          <w:sz w:val="22"/>
        </w:rPr>
        <w:t> </w:t>
      </w:r>
      <w:r>
        <w:rPr>
          <w:b/>
          <w:i/>
          <w:sz w:val="22"/>
        </w:rPr>
        <w:t>Proširenje</w:t>
      </w:r>
      <w:r>
        <w:rPr>
          <w:b/>
          <w:i/>
          <w:spacing w:val="1"/>
          <w:sz w:val="22"/>
        </w:rPr>
        <w:t> </w:t>
      </w:r>
      <w:r>
        <w:rPr>
          <w:b/>
          <w:i/>
          <w:sz w:val="22"/>
        </w:rPr>
        <w:t>javne</w:t>
      </w:r>
      <w:r>
        <w:rPr>
          <w:b/>
          <w:i/>
          <w:spacing w:val="1"/>
          <w:sz w:val="22"/>
        </w:rPr>
        <w:t> </w:t>
      </w:r>
      <w:r>
        <w:rPr>
          <w:b/>
          <w:i/>
          <w:sz w:val="22"/>
        </w:rPr>
        <w:t>rasvjete</w:t>
      </w:r>
      <w:r>
        <w:rPr>
          <w:b/>
          <w:i/>
          <w:spacing w:val="2"/>
          <w:sz w:val="22"/>
        </w:rPr>
        <w:t> </w:t>
      </w:r>
      <w:r>
        <w:rPr>
          <w:sz w:val="22"/>
        </w:rPr>
        <w:t>u iznosu</w:t>
      </w:r>
      <w:r>
        <w:rPr>
          <w:spacing w:val="5"/>
          <w:sz w:val="22"/>
        </w:rPr>
        <w:t> </w:t>
      </w:r>
      <w:r>
        <w:rPr>
          <w:sz w:val="22"/>
        </w:rPr>
        <w:t>od</w:t>
      </w:r>
      <w:r>
        <w:rPr>
          <w:spacing w:val="7"/>
          <w:sz w:val="22"/>
        </w:rPr>
        <w:t> </w:t>
      </w:r>
      <w:r>
        <w:rPr>
          <w:sz w:val="22"/>
        </w:rPr>
        <w:t>20.000,00</w:t>
      </w:r>
      <w:r>
        <w:rPr>
          <w:spacing w:val="53"/>
          <w:sz w:val="22"/>
        </w:rPr>
        <w:t> </w:t>
      </w:r>
      <w:r>
        <w:rPr>
          <w:spacing w:val="-4"/>
          <w:sz w:val="22"/>
        </w:rPr>
        <w:t>EUR.</w:t>
      </w:r>
    </w:p>
    <w:p>
      <w:pPr>
        <w:pStyle w:val="BodyText"/>
        <w:spacing w:before="7"/>
      </w:pPr>
    </w:p>
    <w:p>
      <w:pPr>
        <w:spacing w:line="242" w:lineRule="auto" w:before="0"/>
        <w:ind w:left="143" w:right="126" w:firstLine="0"/>
        <w:jc w:val="both"/>
        <w:rPr>
          <w:sz w:val="22"/>
        </w:rPr>
      </w:pPr>
      <w:r>
        <w:rPr>
          <w:sz w:val="22"/>
        </w:rPr>
        <w:t>Za</w:t>
      </w:r>
      <w:r>
        <w:rPr>
          <w:spacing w:val="27"/>
          <w:sz w:val="22"/>
        </w:rPr>
        <w:t> </w:t>
      </w:r>
      <w:r>
        <w:rPr>
          <w:sz w:val="22"/>
        </w:rPr>
        <w:t>aktivnost</w:t>
      </w:r>
      <w:r>
        <w:rPr>
          <w:spacing w:val="32"/>
          <w:sz w:val="22"/>
        </w:rPr>
        <w:t> </w:t>
      </w:r>
      <w:r>
        <w:rPr>
          <w:b/>
          <w:i/>
          <w:sz w:val="22"/>
        </w:rPr>
        <w:t>Asfaltiranje</w:t>
      </w:r>
      <w:r>
        <w:rPr>
          <w:b/>
          <w:i/>
          <w:spacing w:val="26"/>
          <w:sz w:val="22"/>
        </w:rPr>
        <w:t> </w:t>
      </w:r>
      <w:r>
        <w:rPr>
          <w:b/>
          <w:i/>
          <w:sz w:val="22"/>
        </w:rPr>
        <w:t>nerazvrstanih</w:t>
      </w:r>
      <w:r>
        <w:rPr>
          <w:b/>
          <w:i/>
          <w:spacing w:val="33"/>
          <w:sz w:val="22"/>
        </w:rPr>
        <w:t> </w:t>
      </w:r>
      <w:r>
        <w:rPr>
          <w:b/>
          <w:i/>
          <w:sz w:val="22"/>
        </w:rPr>
        <w:t>cesta</w:t>
      </w:r>
      <w:r>
        <w:rPr>
          <w:b/>
          <w:i/>
          <w:spacing w:val="29"/>
          <w:sz w:val="22"/>
        </w:rPr>
        <w:t> </w:t>
      </w:r>
      <w:r>
        <w:rPr>
          <w:b/>
          <w:i/>
          <w:sz w:val="22"/>
        </w:rPr>
        <w:t>na</w:t>
      </w:r>
      <w:r>
        <w:rPr>
          <w:b/>
          <w:i/>
          <w:spacing w:val="29"/>
          <w:sz w:val="22"/>
        </w:rPr>
        <w:t> </w:t>
      </w:r>
      <w:r>
        <w:rPr>
          <w:b/>
          <w:i/>
          <w:sz w:val="22"/>
        </w:rPr>
        <w:t>području</w:t>
      </w:r>
      <w:r>
        <w:rPr>
          <w:b/>
          <w:i/>
          <w:spacing w:val="31"/>
          <w:sz w:val="22"/>
        </w:rPr>
        <w:t> </w:t>
      </w:r>
      <w:r>
        <w:rPr>
          <w:b/>
          <w:i/>
          <w:sz w:val="22"/>
        </w:rPr>
        <w:t>Općine</w:t>
      </w:r>
      <w:r>
        <w:rPr>
          <w:b/>
          <w:i/>
          <w:spacing w:val="25"/>
          <w:sz w:val="22"/>
        </w:rPr>
        <w:t> </w:t>
      </w:r>
      <w:r>
        <w:rPr>
          <w:b/>
          <w:i/>
          <w:sz w:val="22"/>
        </w:rPr>
        <w:t>Lanišće</w:t>
      </w:r>
      <w:r>
        <w:rPr>
          <w:b/>
          <w:i/>
          <w:spacing w:val="40"/>
          <w:sz w:val="22"/>
        </w:rPr>
        <w:t> </w:t>
      </w:r>
      <w:r>
        <w:rPr>
          <w:sz w:val="22"/>
        </w:rPr>
        <w:t>za</w:t>
      </w:r>
      <w:r>
        <w:rPr>
          <w:spacing w:val="31"/>
          <w:sz w:val="22"/>
        </w:rPr>
        <w:t> </w:t>
      </w:r>
      <w:r>
        <w:rPr>
          <w:sz w:val="22"/>
        </w:rPr>
        <w:t>2026.</w:t>
      </w:r>
      <w:r>
        <w:rPr>
          <w:spacing w:val="29"/>
          <w:sz w:val="22"/>
        </w:rPr>
        <w:t> </w:t>
      </w:r>
      <w:r>
        <w:rPr>
          <w:sz w:val="22"/>
        </w:rPr>
        <w:t>godinu</w:t>
      </w:r>
      <w:r>
        <w:rPr>
          <w:spacing w:val="40"/>
          <w:sz w:val="22"/>
        </w:rPr>
        <w:t> </w:t>
      </w:r>
      <w:r>
        <w:rPr>
          <w:sz w:val="22"/>
        </w:rPr>
        <w:t>planirana su novčana sredstva</w:t>
      </w:r>
      <w:r>
        <w:rPr>
          <w:spacing w:val="-2"/>
          <w:sz w:val="22"/>
        </w:rPr>
        <w:t> </w:t>
      </w:r>
      <w:r>
        <w:rPr>
          <w:sz w:val="22"/>
        </w:rPr>
        <w:t>u iznosu od 166.500,00 EUR. Navedena</w:t>
      </w:r>
      <w:r>
        <w:rPr>
          <w:spacing w:val="-1"/>
          <w:sz w:val="22"/>
        </w:rPr>
        <w:t> </w:t>
      </w:r>
      <w:r>
        <w:rPr>
          <w:sz w:val="22"/>
        </w:rPr>
        <w:t>sredstva</w:t>
      </w:r>
      <w:r>
        <w:rPr>
          <w:spacing w:val="-2"/>
          <w:sz w:val="22"/>
        </w:rPr>
        <w:t> </w:t>
      </w:r>
      <w:r>
        <w:rPr>
          <w:sz w:val="22"/>
        </w:rPr>
        <w:t>odnose se na same</w:t>
      </w:r>
      <w:r>
        <w:rPr>
          <w:spacing w:val="40"/>
          <w:sz w:val="22"/>
        </w:rPr>
        <w:t> </w:t>
      </w:r>
      <w:r>
        <w:rPr>
          <w:sz w:val="22"/>
        </w:rPr>
        <w:t>radove te usluge stručnog nadzora.</w:t>
      </w:r>
    </w:p>
    <w:p>
      <w:pPr>
        <w:pStyle w:val="BodyText"/>
        <w:spacing w:before="3"/>
      </w:pPr>
    </w:p>
    <w:p>
      <w:pPr>
        <w:spacing w:line="242" w:lineRule="auto" w:before="0"/>
        <w:ind w:left="143" w:right="135" w:firstLine="0"/>
        <w:jc w:val="both"/>
        <w:rPr>
          <w:sz w:val="22"/>
        </w:rPr>
      </w:pPr>
      <w:r>
        <w:rPr>
          <w:sz w:val="22"/>
        </w:rPr>
        <w:t>Pod</w:t>
      </w:r>
      <w:r>
        <w:rPr>
          <w:spacing w:val="-3"/>
          <w:sz w:val="22"/>
        </w:rPr>
        <w:t> </w:t>
      </w:r>
      <w:r>
        <w:rPr>
          <w:sz w:val="22"/>
        </w:rPr>
        <w:t>aktivnosti </w:t>
      </w:r>
      <w:r>
        <w:rPr>
          <w:b/>
          <w:i/>
          <w:sz w:val="22"/>
        </w:rPr>
        <w:t>Zamjena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(rekonstrukcija)</w:t>
      </w:r>
      <w:r>
        <w:rPr>
          <w:b/>
          <w:i/>
          <w:spacing w:val="-5"/>
          <w:sz w:val="22"/>
        </w:rPr>
        <w:t> </w:t>
      </w:r>
      <w:r>
        <w:rPr>
          <w:b/>
          <w:i/>
          <w:sz w:val="22"/>
        </w:rPr>
        <w:t>postojeće</w:t>
      </w:r>
      <w:r>
        <w:rPr>
          <w:b/>
          <w:i/>
          <w:spacing w:val="-9"/>
          <w:sz w:val="22"/>
        </w:rPr>
        <w:t> </w:t>
      </w:r>
      <w:r>
        <w:rPr>
          <w:b/>
          <w:i/>
          <w:sz w:val="22"/>
        </w:rPr>
        <w:t>javne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rasvjete ekološki prihvatljivom LED</w:t>
      </w:r>
      <w:r>
        <w:rPr>
          <w:b/>
          <w:i/>
          <w:spacing w:val="40"/>
          <w:sz w:val="22"/>
        </w:rPr>
        <w:t> </w:t>
      </w:r>
      <w:r>
        <w:rPr>
          <w:b/>
          <w:i/>
          <w:sz w:val="22"/>
        </w:rPr>
        <w:t>rasvjetom na području Općine Lanišće </w:t>
      </w:r>
      <w:r>
        <w:rPr>
          <w:sz w:val="22"/>
        </w:rPr>
        <w:t>u 2026. godini planirana su sredstva u iznosu od 4.900,00</w:t>
      </w:r>
      <w:r>
        <w:rPr>
          <w:spacing w:val="80"/>
          <w:sz w:val="22"/>
        </w:rPr>
        <w:t> </w:t>
      </w:r>
      <w:r>
        <w:rPr>
          <w:sz w:val="22"/>
        </w:rPr>
        <w:t>EUR.</w:t>
      </w:r>
      <w:r>
        <w:rPr>
          <w:spacing w:val="40"/>
          <w:sz w:val="22"/>
        </w:rPr>
        <w:t> </w:t>
      </w:r>
      <w:r>
        <w:rPr>
          <w:sz w:val="22"/>
        </w:rPr>
        <w:t>Navedena sredstva odnose se na zamjenu postojeće javne rasvjete ekološki prihvatljivom</w:t>
      </w:r>
      <w:r>
        <w:rPr>
          <w:spacing w:val="40"/>
          <w:sz w:val="22"/>
        </w:rPr>
        <w:t> </w:t>
      </w:r>
      <w:r>
        <w:rPr>
          <w:sz w:val="22"/>
        </w:rPr>
        <w:t>LED rasvjetom te usluge stručnog elektrotehničkog nadzora.</w:t>
      </w:r>
    </w:p>
    <w:p>
      <w:pPr>
        <w:pStyle w:val="Heading2"/>
        <w:spacing w:before="228"/>
      </w:pPr>
      <w:r>
        <w:rPr/>
        <w:t>Članak</w:t>
      </w:r>
      <w:r>
        <w:rPr>
          <w:spacing w:val="16"/>
        </w:rPr>
        <w:t> </w:t>
      </w:r>
      <w:r>
        <w:rPr>
          <w:spacing w:val="-5"/>
        </w:rPr>
        <w:t>4.</w:t>
      </w:r>
    </w:p>
    <w:p>
      <w:pPr>
        <w:pStyle w:val="BodyText"/>
        <w:spacing w:line="244" w:lineRule="auto" w:before="7"/>
        <w:ind w:left="143" w:right="129"/>
        <w:jc w:val="both"/>
      </w:pPr>
      <w:r>
        <w:rPr/>
        <w:t>Sredstva za ostvarivanje programa iz članka 2. i 3. osiguravaju se u Proračunu Općine Lanišće</w:t>
      </w:r>
      <w:r>
        <w:rPr>
          <w:spacing w:val="40"/>
        </w:rPr>
        <w:t> </w:t>
      </w:r>
      <w:r>
        <w:rPr/>
        <w:t>ovisno o pritjecanju sredstava u Proračun. Sastavni dio ovog izvješća sačinjava i tabelarni prikaz planiranih aktivnosti u 2026. godini.</w:t>
      </w:r>
    </w:p>
    <w:p>
      <w:pPr>
        <w:pStyle w:val="BodyText"/>
        <w:spacing w:before="9"/>
      </w:pPr>
    </w:p>
    <w:p>
      <w:pPr>
        <w:pStyle w:val="Heading2"/>
      </w:pPr>
      <w:r>
        <w:rPr/>
        <w:t>Članak</w:t>
      </w:r>
      <w:r>
        <w:rPr>
          <w:spacing w:val="16"/>
        </w:rPr>
        <w:t> </w:t>
      </w:r>
      <w:r>
        <w:rPr>
          <w:spacing w:val="-5"/>
        </w:rPr>
        <w:t>5.</w:t>
      </w:r>
    </w:p>
    <w:p>
      <w:pPr>
        <w:pStyle w:val="BodyText"/>
        <w:spacing w:line="244" w:lineRule="auto" w:before="9"/>
        <w:ind w:left="143" w:right="125"/>
        <w:jc w:val="both"/>
      </w:pPr>
      <w:r>
        <w:rPr/>
        <w:t>Program ulaganja u objekte i uređaje komunalne infrastrukture objavit će se u Službenim novinama Istarske županije i na web stranici Općine Lanišće </w:t>
      </w:r>
      <w:r>
        <w:rPr>
          <w:color w:val="0000FF"/>
          <w:u w:val="single" w:color="0000FF"/>
        </w:rPr>
        <w:t>www.lanisce.hr, </w:t>
      </w:r>
      <w:r>
        <w:rPr/>
        <w:t>a stupa na snagu 1. siječnja 2026. </w:t>
      </w:r>
      <w:r>
        <w:rPr>
          <w:spacing w:val="-2"/>
        </w:rPr>
        <w:t>godine.</w:t>
      </w:r>
    </w:p>
    <w:p>
      <w:pPr>
        <w:pStyle w:val="BodyText"/>
      </w:pPr>
    </w:p>
    <w:p>
      <w:pPr>
        <w:pStyle w:val="BodyText"/>
        <w:spacing w:before="225"/>
      </w:pPr>
    </w:p>
    <w:p>
      <w:pPr>
        <w:pStyle w:val="Heading1"/>
        <w:ind w:left="2296"/>
        <w:jc w:val="left"/>
      </w:pPr>
      <w:r>
        <w:rPr/>
        <w:t>OPĆINSKO</w:t>
      </w:r>
      <w:r>
        <w:rPr>
          <w:spacing w:val="-15"/>
        </w:rPr>
        <w:t> </w:t>
      </w:r>
      <w:r>
        <w:rPr/>
        <w:t>VIJEĆE</w:t>
      </w:r>
      <w:r>
        <w:rPr>
          <w:spacing w:val="13"/>
        </w:rPr>
        <w:t> </w:t>
      </w:r>
      <w:r>
        <w:rPr/>
        <w:t>OPĆINE</w:t>
      </w:r>
      <w:r>
        <w:rPr>
          <w:spacing w:val="3"/>
        </w:rPr>
        <w:t> </w:t>
      </w:r>
      <w:r>
        <w:rPr>
          <w:spacing w:val="-2"/>
        </w:rPr>
        <w:t>LANIŠĆE</w:t>
      </w:r>
    </w:p>
    <w:p>
      <w:pPr>
        <w:pStyle w:val="BodyText"/>
        <w:spacing w:before="175"/>
        <w:rPr>
          <w:b/>
        </w:rPr>
      </w:pPr>
    </w:p>
    <w:p>
      <w:pPr>
        <w:pStyle w:val="BodyText"/>
        <w:ind w:left="3766" w:right="5"/>
        <w:jc w:val="center"/>
      </w:pPr>
      <w:r>
        <w:rPr/>
        <w:t>PREDSJEDNIKOPĆINSKOG</w:t>
      </w:r>
      <w:r>
        <w:rPr>
          <w:spacing w:val="26"/>
        </w:rPr>
        <w:t> </w:t>
      </w:r>
      <w:r>
        <w:rPr>
          <w:spacing w:val="-2"/>
        </w:rPr>
        <w:t>VIJEĆA</w:t>
      </w:r>
    </w:p>
    <w:p>
      <w:pPr>
        <w:spacing w:before="8"/>
        <w:ind w:left="3766" w:right="0" w:firstLine="0"/>
        <w:jc w:val="center"/>
        <w:rPr>
          <w:b/>
          <w:i/>
          <w:sz w:val="20"/>
        </w:rPr>
      </w:pPr>
      <w:r>
        <w:rPr>
          <w:b/>
          <w:i/>
          <w:sz w:val="20"/>
        </w:rPr>
        <w:t>Saša</w:t>
      </w:r>
      <w:r>
        <w:rPr>
          <w:b/>
          <w:i/>
          <w:spacing w:val="9"/>
          <w:sz w:val="20"/>
        </w:rPr>
        <w:t> </w:t>
      </w:r>
      <w:r>
        <w:rPr>
          <w:b/>
          <w:i/>
          <w:sz w:val="20"/>
        </w:rPr>
        <w:t>Aleksić,</w:t>
      </w:r>
      <w:r>
        <w:rPr>
          <w:b/>
          <w:i/>
          <w:spacing w:val="4"/>
          <w:sz w:val="20"/>
        </w:rPr>
        <w:t> </w:t>
      </w:r>
      <w:r>
        <w:rPr>
          <w:b/>
          <w:i/>
          <w:spacing w:val="-4"/>
          <w:sz w:val="20"/>
        </w:rPr>
        <w:t>v.r.</w:t>
      </w:r>
    </w:p>
    <w:p>
      <w:pPr>
        <w:spacing w:after="0"/>
        <w:jc w:val="center"/>
        <w:rPr>
          <w:b/>
          <w:i/>
          <w:sz w:val="20"/>
        </w:rPr>
        <w:sectPr>
          <w:pgSz w:w="12240" w:h="15840"/>
          <w:pgMar w:top="780" w:bottom="280" w:left="1440" w:right="1080"/>
        </w:sectPr>
      </w:pPr>
    </w:p>
    <w:p>
      <w:pPr>
        <w:spacing w:line="288" w:lineRule="exact" w:before="25"/>
        <w:ind w:left="150" w:right="0" w:firstLine="0"/>
        <w:jc w:val="left"/>
        <w:rPr>
          <w:rFonts w:ascii="Calibri"/>
          <w:sz w:val="24"/>
        </w:rPr>
      </w:pPr>
      <w:r>
        <w:rPr>
          <w:rFonts w:ascii="Calibri"/>
          <w:color w:val="212A35"/>
          <w:sz w:val="24"/>
        </w:rPr>
        <w:t>REPUBLIKA</w:t>
      </w:r>
      <w:r>
        <w:rPr>
          <w:rFonts w:ascii="Calibri"/>
          <w:color w:val="212A35"/>
          <w:spacing w:val="-1"/>
          <w:sz w:val="24"/>
        </w:rPr>
        <w:t> </w:t>
      </w:r>
      <w:r>
        <w:rPr>
          <w:rFonts w:ascii="Calibri"/>
          <w:color w:val="212A35"/>
          <w:spacing w:val="-2"/>
          <w:sz w:val="24"/>
        </w:rPr>
        <w:t>HRVATSKA</w:t>
      </w:r>
    </w:p>
    <w:p>
      <w:pPr>
        <w:spacing w:line="288" w:lineRule="exact" w:before="0"/>
        <w:ind w:left="150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212A35"/>
          <w:sz w:val="24"/>
        </w:rPr>
        <w:t>ISTARSKA</w:t>
      </w:r>
      <w:r>
        <w:rPr>
          <w:rFonts w:ascii="Calibri" w:hAnsi="Calibri"/>
          <w:color w:val="212A35"/>
          <w:spacing w:val="-1"/>
          <w:sz w:val="24"/>
        </w:rPr>
        <w:t> </w:t>
      </w:r>
      <w:r>
        <w:rPr>
          <w:rFonts w:ascii="Calibri" w:hAnsi="Calibri"/>
          <w:color w:val="212A35"/>
          <w:spacing w:val="-2"/>
          <w:sz w:val="24"/>
        </w:rPr>
        <w:t>ŽUPANIJA</w:t>
      </w:r>
    </w:p>
    <w:p>
      <w:pPr>
        <w:spacing w:line="288" w:lineRule="auto" w:before="103"/>
        <w:ind w:left="1351" w:right="7549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703529</wp:posOffset>
            </wp:positionH>
            <wp:positionV relativeFrom="paragraph">
              <wp:posOffset>59875</wp:posOffset>
            </wp:positionV>
            <wp:extent cx="388184" cy="53775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84" cy="53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pStyle w:val="BodyText"/>
        <w:rPr>
          <w:rFonts w:ascii="Calibri"/>
          <w:sz w:val="18"/>
        </w:rPr>
      </w:pPr>
    </w:p>
    <w:p>
      <w:pPr>
        <w:pStyle w:val="BodyText"/>
        <w:spacing w:before="158"/>
        <w:rPr>
          <w:rFonts w:ascii="Calibri"/>
          <w:sz w:val="18"/>
        </w:rPr>
      </w:pPr>
    </w:p>
    <w:p>
      <w:pPr>
        <w:spacing w:before="0"/>
        <w:ind w:left="149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PRORAČUN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/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FIN.</w:t>
      </w:r>
      <w:r>
        <w:rPr>
          <w:rFonts w:ascii="Segoe UI" w:hAnsi="Segoe UI"/>
          <w:spacing w:val="1"/>
          <w:sz w:val="36"/>
        </w:rPr>
        <w:t> </w:t>
      </w:r>
      <w:r>
        <w:rPr>
          <w:rFonts w:ascii="Segoe UI" w:hAnsi="Segoe UI"/>
          <w:spacing w:val="-4"/>
          <w:sz w:val="36"/>
        </w:rPr>
        <w:t>PLAN</w:t>
      </w:r>
    </w:p>
    <w:p>
      <w:pPr>
        <w:spacing w:before="36"/>
        <w:ind w:left="149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RASHODI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IZDACI</w:t>
      </w:r>
      <w:r>
        <w:rPr>
          <w:rFonts w:ascii="Segoe UI"/>
          <w:spacing w:val="-1"/>
          <w:sz w:val="26"/>
        </w:rPr>
        <w:t> </w:t>
      </w:r>
      <w:r>
        <w:rPr>
          <w:rFonts w:ascii="Segoe UI"/>
          <w:sz w:val="26"/>
        </w:rPr>
        <w:t>PO</w:t>
      </w:r>
      <w:r>
        <w:rPr>
          <w:rFonts w:ascii="Segoe UI"/>
          <w:spacing w:val="-3"/>
          <w:sz w:val="26"/>
        </w:rPr>
        <w:t> </w:t>
      </w:r>
      <w:r>
        <w:rPr>
          <w:rFonts w:ascii="Segoe UI"/>
          <w:spacing w:val="-2"/>
          <w:sz w:val="26"/>
        </w:rPr>
        <w:t>PROGRAMIMA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53"/>
        <w:rPr>
          <w:rFonts w:ascii="Segoe UI"/>
          <w:sz w:val="20"/>
        </w:rPr>
      </w:pPr>
      <w:r>
        <w:rPr>
          <w:rFonts w:ascii="Segoe UI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539394</wp:posOffset>
                </wp:positionH>
                <wp:positionV relativeFrom="paragraph">
                  <wp:posOffset>281610</wp:posOffset>
                </wp:positionV>
                <wp:extent cx="6566534" cy="36512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566534" cy="365125"/>
                          <a:chExt cx="6566534" cy="365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" y="623"/>
                            <a:ext cx="655955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0" h="360680">
                                <a:moveTo>
                                  <a:pt x="65590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260"/>
                                </a:lnTo>
                                <a:lnTo>
                                  <a:pt x="6559042" y="360260"/>
                                </a:lnTo>
                                <a:lnTo>
                                  <a:pt x="65590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9" y="0"/>
                            <a:ext cx="6558915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365125">
                                <a:moveTo>
                                  <a:pt x="6558407" y="362686"/>
                                </a:moveTo>
                                <a:lnTo>
                                  <a:pt x="0" y="362686"/>
                                </a:lnTo>
                                <a:lnTo>
                                  <a:pt x="0" y="364820"/>
                                </a:lnTo>
                                <a:lnTo>
                                  <a:pt x="6558407" y="364820"/>
                                </a:lnTo>
                                <a:lnTo>
                                  <a:pt x="6558407" y="362686"/>
                                </a:lnTo>
                                <a:close/>
                              </a:path>
                              <a:path w="6558915" h="36512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1220"/>
                            <a:ext cx="6566534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177" w:val="left" w:leader="none"/>
                                  <w:tab w:pos="2064" w:val="left" w:leader="none"/>
                                  <w:tab w:pos="9168" w:val="left" w:leader="none"/>
                                </w:tabs>
                                <w:spacing w:before="72"/>
                                <w:ind w:left="14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position w:val="1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Pozicija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Račun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  <w:t>Naziv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računa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position w:val="1"/>
                                  <w:sz w:val="18"/>
                                </w:rPr>
                                <w:t>Plan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472pt;margin-top:22.174017pt;width:517.0500pt;height:28.75pt;mso-position-horizontal-relative:page;mso-position-vertical-relative:paragraph;z-index:-15728640;mso-wrap-distance-left:0;mso-wrap-distance-right:0" id="docshapegroup1" coordorigin="849,443" coordsize="10341,575">
                <v:rect style="position:absolute;left:850;top:444;width:10330;height:568" id="docshape2" filled="true" fillcolor="#f1f1f1" stroked="false">
                  <v:fill type="solid"/>
                </v:rect>
                <v:shape style="position:absolute;left:850;top:443;width:10329;height:575" id="docshape3" coordorigin="850,443" coordsize="10329,575" path="m11179,1015l850,1015,850,1018,11179,1018,11179,1015xm11179,443l850,443,850,445,11179,445,11179,443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49;top:445;width:10341;height:570" type="#_x0000_t202" id="docshape4" filled="false" stroked="false">
                  <v:textbox inset="0,0,0,0">
                    <w:txbxContent>
                      <w:p>
                        <w:pPr>
                          <w:tabs>
                            <w:tab w:pos="1177" w:val="left" w:leader="none"/>
                            <w:tab w:pos="2064" w:val="left" w:leader="none"/>
                            <w:tab w:pos="9168" w:val="left" w:leader="none"/>
                          </w:tabs>
                          <w:spacing w:before="72"/>
                          <w:ind w:left="148" w:right="0" w:firstLine="0"/>
                          <w:jc w:val="left"/>
                          <w:rPr>
                            <w:rFonts w:ascii="Calibri" w:hAnsi="Calibri"/>
                            <w:b/>
                            <w:position w:val="1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Pozicija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Račun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  <w:t>Naziv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računa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position w:val="1"/>
                            <w:sz w:val="18"/>
                          </w:rPr>
                          <w:t>Plan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Segoe UI"/>
          <w:sz w:val="12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6616"/>
        <w:gridCol w:w="2549"/>
      </w:tblGrid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1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6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1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2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2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191.400,00</w:t>
            </w:r>
          </w:p>
        </w:tc>
      </w:tr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6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2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191.400,00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8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1012</w:t>
            </w:r>
          </w:p>
        </w:tc>
        <w:tc>
          <w:tcPr>
            <w:tcW w:w="66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ULAGANJE U</w:t>
            </w:r>
            <w:r>
              <w:rPr>
                <w:b/>
                <w:spacing w:val="38"/>
                <w:sz w:val="18"/>
              </w:rPr>
              <w:t> </w:t>
            </w:r>
            <w:r>
              <w:rPr>
                <w:b/>
                <w:sz w:val="18"/>
              </w:rPr>
              <w:t>OBJEKTE 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UREĐAJE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z w:val="18"/>
              </w:rPr>
              <w:t>KOMUNALNE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INFRASTRUKTURE</w:t>
            </w:r>
          </w:p>
        </w:tc>
        <w:tc>
          <w:tcPr>
            <w:tcW w:w="2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191.400,00</w:t>
            </w:r>
          </w:p>
        </w:tc>
      </w:tr>
      <w:tr>
        <w:trPr>
          <w:trHeight w:val="559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K101201</w:t>
            </w:r>
          </w:p>
        </w:tc>
        <w:tc>
          <w:tcPr>
            <w:tcW w:w="66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Asfaltiranje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nerazvrstanih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cesta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2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166.500,00</w:t>
            </w:r>
          </w:p>
        </w:tc>
      </w:tr>
      <w:tr>
        <w:trPr>
          <w:trHeight w:val="341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6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Komunalni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doprinos</w:t>
            </w:r>
          </w:p>
        </w:tc>
        <w:tc>
          <w:tcPr>
            <w:tcW w:w="25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pgSz w:w="11910" w:h="16840"/>
          <w:pgMar w:top="340" w:bottom="280" w:left="720" w:right="360"/>
        </w:sectPr>
      </w:pPr>
    </w:p>
    <w:p>
      <w:pPr>
        <w:tabs>
          <w:tab w:pos="1341" w:val="left" w:leader="none"/>
        </w:tabs>
        <w:spacing w:before="16"/>
        <w:ind w:left="610" w:right="0" w:firstLine="0"/>
        <w:jc w:val="left"/>
        <w:rPr>
          <w:rFonts w:ascii="Calibri"/>
          <w:sz w:val="18"/>
        </w:rPr>
      </w:pPr>
      <w:r>
        <w:rPr>
          <w:rFonts w:ascii="Calibri"/>
          <w:b/>
          <w:spacing w:val="-5"/>
          <w:sz w:val="18"/>
        </w:rPr>
        <w:t>78</w:t>
      </w:r>
      <w:r>
        <w:rPr>
          <w:rFonts w:ascii="Calibri"/>
          <w:b/>
          <w:sz w:val="18"/>
        </w:rPr>
        <w:tab/>
      </w:r>
      <w:r>
        <w:rPr>
          <w:rFonts w:ascii="Calibri"/>
          <w:spacing w:val="-2"/>
          <w:sz w:val="18"/>
        </w:rPr>
        <w:t>42131</w:t>
      </w:r>
    </w:p>
    <w:p>
      <w:pPr>
        <w:spacing w:before="16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Ceste</w:t>
      </w:r>
    </w:p>
    <w:p>
      <w:pPr>
        <w:spacing w:before="16"/>
        <w:ind w:left="610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3.500,00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3" w:equalWidth="0">
            <w:col w:w="1799" w:space="40"/>
            <w:col w:w="733" w:space="6565"/>
            <w:col w:w="1693"/>
          </w:cols>
        </w:sectPr>
      </w:pPr>
    </w:p>
    <w:p>
      <w:pPr>
        <w:pStyle w:val="BodyText"/>
        <w:spacing w:before="4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221615"/>
                <wp:effectExtent l="0" t="0" r="0" b="6985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66534" cy="221615"/>
                          <a:chExt cx="6566534" cy="22161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7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9" y="1"/>
                            <a:ext cx="655891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1615">
                                <a:moveTo>
                                  <a:pt x="6558407" y="219684"/>
                                </a:moveTo>
                                <a:lnTo>
                                  <a:pt x="0" y="219684"/>
                                </a:lnTo>
                                <a:lnTo>
                                  <a:pt x="0" y="221208"/>
                                </a:lnTo>
                                <a:lnTo>
                                  <a:pt x="6558407" y="221208"/>
                                </a:lnTo>
                                <a:lnTo>
                                  <a:pt x="6558407" y="219684"/>
                                </a:lnTo>
                                <a:close/>
                              </a:path>
                              <a:path w="6558915" h="22161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3"/>
                                </a:lnTo>
                                <a:lnTo>
                                  <a:pt x="6558407" y="2133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135"/>
                            <a:ext cx="6566534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521" w:val="left" w:leader="none"/>
                                </w:tabs>
                                <w:spacing w:before="16"/>
                                <w:ind w:left="392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492</w:t>
                              </w:r>
                              <w:r>
                                <w:rPr>
                                  <w:rFonts w:ascii="Calibri"/>
                                  <w:b/>
                                  <w:spacing w:val="5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Komunalna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naknada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Calibri"/>
                                  <w:b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5"/>
                                  <w:sz w:val="18"/>
                                </w:rPr>
                                <w:t>RS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10.000,00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17.45pt;mso-position-horizontal-relative:char;mso-position-vertical-relative:line" id="docshapegroup5" coordorigin="0,0" coordsize="10341,349">
                <v:rect style="position:absolute;left:0;top:0;width:10341;height:348" id="docshape6" filled="true" fillcolor="#ccffcc" stroked="false">
                  <v:fill type="solid"/>
                </v:rect>
                <v:shape style="position:absolute;left:0;top:0;width:10329;height:349" id="docshape7" coordorigin="1,0" coordsize="10329,349" path="m10329,346l1,346,1,348,10329,348,10329,346xm10329,0l1,0,1,3,10329,3,10329,0xe" filled="true" fillcolor="#000000" stroked="false">
                  <v:path arrowok="t"/>
                  <v:fill type="solid"/>
                </v:shape>
                <v:shape style="position:absolute;left:0;top:3;width:10341;height:343" type="#_x0000_t202" id="docshape8" filled="false" stroked="false">
                  <v:textbox inset="0,0,0,0">
                    <w:txbxContent>
                      <w:p>
                        <w:pPr>
                          <w:tabs>
                            <w:tab w:pos="9521" w:val="left" w:leader="none"/>
                          </w:tabs>
                          <w:spacing w:before="16"/>
                          <w:ind w:left="392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492</w:t>
                        </w:r>
                        <w:r>
                          <w:rPr>
                            <w:rFonts w:ascii="Calibri"/>
                            <w:b/>
                            <w:spacing w:val="57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Komunalna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naknada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-</w:t>
                        </w:r>
                        <w:r>
                          <w:rPr>
                            <w:rFonts w:ascii="Calibri"/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5"/>
                            <w:sz w:val="18"/>
                          </w:rPr>
                          <w:t>RS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10.000,00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top="920" w:bottom="280" w:left="720" w:right="360"/>
        </w:sectPr>
      </w:pPr>
    </w:p>
    <w:p>
      <w:pPr>
        <w:tabs>
          <w:tab w:pos="1341" w:val="left" w:leader="none"/>
        </w:tabs>
        <w:spacing w:line="201" w:lineRule="exact" w:before="0"/>
        <w:ind w:left="610" w:right="0" w:firstLine="0"/>
        <w:jc w:val="left"/>
        <w:rPr>
          <w:rFonts w:ascii="Calibri"/>
          <w:sz w:val="18"/>
        </w:rPr>
      </w:pPr>
      <w:r>
        <w:rPr>
          <w:rFonts w:ascii="Calibri"/>
          <w:b/>
          <w:spacing w:val="-5"/>
          <w:sz w:val="18"/>
        </w:rPr>
        <w:t>78</w:t>
      </w:r>
      <w:r>
        <w:rPr>
          <w:rFonts w:ascii="Calibri"/>
          <w:b/>
          <w:sz w:val="18"/>
        </w:rPr>
        <w:tab/>
      </w:r>
      <w:r>
        <w:rPr>
          <w:rFonts w:ascii="Calibri"/>
          <w:spacing w:val="-2"/>
          <w:sz w:val="18"/>
        </w:rPr>
        <w:t>42131</w:t>
      </w:r>
    </w:p>
    <w:p>
      <w:pPr>
        <w:spacing w:line="201" w:lineRule="exact" w:before="0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Ceste</w:t>
      </w:r>
    </w:p>
    <w:p>
      <w:pPr>
        <w:spacing w:line="201" w:lineRule="exact" w:before="0"/>
        <w:ind w:left="610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10.000,00</w:t>
      </w:r>
    </w:p>
    <w:p>
      <w:pPr>
        <w:spacing w:after="0" w:line="201" w:lineRule="exact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3" w:equalWidth="0">
            <w:col w:w="1800" w:space="40"/>
            <w:col w:w="733" w:space="6473"/>
            <w:col w:w="1784"/>
          </w:cols>
        </w:sectPr>
      </w:pPr>
    </w:p>
    <w:p>
      <w:pPr>
        <w:pStyle w:val="BodyText"/>
        <w:spacing w:before="1" w:after="1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220979"/>
                <wp:effectExtent l="0" t="0" r="0" b="762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566534" cy="220979"/>
                          <a:chExt cx="6566534" cy="220979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09" y="25"/>
                            <a:ext cx="6558915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0979">
                                <a:moveTo>
                                  <a:pt x="6558407" y="219684"/>
                                </a:moveTo>
                                <a:lnTo>
                                  <a:pt x="0" y="219684"/>
                                </a:lnTo>
                                <a:lnTo>
                                  <a:pt x="0" y="220903"/>
                                </a:lnTo>
                                <a:lnTo>
                                  <a:pt x="6558407" y="220903"/>
                                </a:lnTo>
                                <a:lnTo>
                                  <a:pt x="6558407" y="219684"/>
                                </a:lnTo>
                                <a:close/>
                              </a:path>
                              <a:path w="6558915" h="220979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"/>
                                </a:lnTo>
                                <a:lnTo>
                                  <a:pt x="6558407" y="1828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1854"/>
                            <a:ext cx="6566534" cy="218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430" w:val="left" w:leader="none"/>
                                </w:tabs>
                                <w:spacing w:before="16"/>
                                <w:ind w:left="392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520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6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Pomoći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133.000,00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17.4pt;mso-position-horizontal-relative:char;mso-position-vertical-relative:line" id="docshapegroup9" coordorigin="0,0" coordsize="10341,348">
                <v:rect style="position:absolute;left:0;top:0;width:10341;height:348" id="docshape10" filled="true" fillcolor="#ccffcc" stroked="false">
                  <v:fill type="solid"/>
                </v:rect>
                <v:shape style="position:absolute;left:0;top:0;width:10329;height:348" id="docshape11" coordorigin="1,0" coordsize="10329,348" path="m10329,346l1,346,1,348,10329,348,10329,346xm10329,0l1,0,1,3,10329,3,10329,0xe" filled="true" fillcolor="#000000" stroked="false">
                  <v:path arrowok="t"/>
                  <v:fill type="solid"/>
                </v:shape>
                <v:shape style="position:absolute;left:0;top:2;width:10341;height:344" type="#_x0000_t202" id="docshape12" filled="false" stroked="false">
                  <v:textbox inset="0,0,0,0">
                    <w:txbxContent>
                      <w:p>
                        <w:pPr>
                          <w:tabs>
                            <w:tab w:pos="9430" w:val="left" w:leader="none"/>
                          </w:tabs>
                          <w:spacing w:before="16"/>
                          <w:ind w:left="392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520</w:t>
                        </w:r>
                        <w:r>
                          <w:rPr>
                            <w:rFonts w:ascii="Calibri" w:hAnsi="Calibri"/>
                            <w:b/>
                            <w:spacing w:val="6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Pomoći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133.000,00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top="920" w:bottom="280" w:left="720" w:right="360"/>
        </w:sectPr>
      </w:pPr>
    </w:p>
    <w:p>
      <w:pPr>
        <w:tabs>
          <w:tab w:pos="1341" w:val="left" w:leader="none"/>
        </w:tabs>
        <w:spacing w:line="200" w:lineRule="exact" w:before="0"/>
        <w:ind w:left="610" w:right="0" w:firstLine="0"/>
        <w:jc w:val="left"/>
        <w:rPr>
          <w:rFonts w:ascii="Calibri"/>
          <w:sz w:val="18"/>
        </w:rPr>
      </w:pPr>
      <w:r>
        <w:rPr>
          <w:rFonts w:ascii="Calibri"/>
          <w:b/>
          <w:spacing w:val="-5"/>
          <w:sz w:val="18"/>
        </w:rPr>
        <w:t>78</w:t>
      </w:r>
      <w:r>
        <w:rPr>
          <w:rFonts w:ascii="Calibri"/>
          <w:b/>
          <w:sz w:val="18"/>
        </w:rPr>
        <w:tab/>
      </w:r>
      <w:r>
        <w:rPr>
          <w:rFonts w:ascii="Calibri"/>
          <w:spacing w:val="-2"/>
          <w:sz w:val="18"/>
        </w:rPr>
        <w:t>42131</w:t>
      </w:r>
    </w:p>
    <w:p>
      <w:pPr>
        <w:spacing w:line="200" w:lineRule="exact" w:before="0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Ceste</w:t>
      </w:r>
    </w:p>
    <w:p>
      <w:pPr>
        <w:spacing w:line="200" w:lineRule="exact" w:before="0"/>
        <w:ind w:left="610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133.000,00</w:t>
      </w:r>
    </w:p>
    <w:p>
      <w:pPr>
        <w:spacing w:after="0" w:line="200" w:lineRule="exact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3" w:equalWidth="0">
            <w:col w:w="1799" w:space="40"/>
            <w:col w:w="733" w:space="6383"/>
            <w:col w:w="1875"/>
          </w:cols>
        </w:sectPr>
      </w:pPr>
    </w:p>
    <w:p>
      <w:pPr>
        <w:pStyle w:val="BodyText"/>
        <w:spacing w:before="3" w:after="1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220979"/>
                <wp:effectExtent l="0" t="0" r="0" b="762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566534" cy="220979"/>
                          <a:chExt cx="6566534" cy="220979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09" y="0"/>
                            <a:ext cx="655891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19710">
                                <a:moveTo>
                                  <a:pt x="6558407" y="218059"/>
                                </a:moveTo>
                                <a:lnTo>
                                  <a:pt x="0" y="218059"/>
                                </a:lnTo>
                                <a:lnTo>
                                  <a:pt x="0" y="219278"/>
                                </a:lnTo>
                                <a:lnTo>
                                  <a:pt x="6558407" y="219278"/>
                                </a:lnTo>
                                <a:lnTo>
                                  <a:pt x="6558407" y="218059"/>
                                </a:lnTo>
                                <a:close/>
                              </a:path>
                              <a:path w="6558915" h="219710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220"/>
                            <a:ext cx="6566534" cy="217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521" w:val="left" w:leader="none"/>
                                </w:tabs>
                                <w:spacing w:before="18"/>
                                <w:ind w:left="392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592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6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Pomoći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RS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20.000,00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17.4pt;mso-position-horizontal-relative:char;mso-position-vertical-relative:line" id="docshapegroup13" coordorigin="0,0" coordsize="10341,348">
                <v:rect style="position:absolute;left:0;top:0;width:10341;height:348" id="docshape14" filled="true" fillcolor="#ccffcc" stroked="false">
                  <v:fill type="solid"/>
                </v:rect>
                <v:shape style="position:absolute;left:0;top:0;width:10329;height:346" id="docshape15" coordorigin="1,0" coordsize="10329,346" path="m10329,343l1,343,1,345,10329,345,10329,343xm10329,0l1,0,1,2,10329,2,10329,0xe" filled="true" fillcolor="#000000" stroked="false">
                  <v:path arrowok="t"/>
                  <v:fill type="solid"/>
                </v:shape>
                <v:shape style="position:absolute;left:0;top:1;width:10341;height:342" type="#_x0000_t202" id="docshape16" filled="false" stroked="false">
                  <v:textbox inset="0,0,0,0">
                    <w:txbxContent>
                      <w:p>
                        <w:pPr>
                          <w:tabs>
                            <w:tab w:pos="9521" w:val="left" w:leader="none"/>
                          </w:tabs>
                          <w:spacing w:before="18"/>
                          <w:ind w:left="392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592</w:t>
                        </w:r>
                        <w:r>
                          <w:rPr>
                            <w:rFonts w:ascii="Calibri" w:hAnsi="Calibri"/>
                            <w:b/>
                            <w:spacing w:val="6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Pomoći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-</w:t>
                        </w:r>
                        <w:r>
                          <w:rPr>
                            <w:rFonts w:ascii="Calibri" w:hAnsi="Calibri"/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RS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20.000,00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top="920" w:bottom="280" w:left="720" w:right="360"/>
        </w:sectPr>
      </w:pPr>
    </w:p>
    <w:p>
      <w:pPr>
        <w:tabs>
          <w:tab w:pos="1341" w:val="left" w:leader="none"/>
        </w:tabs>
        <w:spacing w:line="198" w:lineRule="exact" w:before="0"/>
        <w:ind w:left="610" w:right="0" w:firstLine="0"/>
        <w:jc w:val="left"/>
        <w:rPr>
          <w:rFonts w:ascii="Calibri"/>
          <w:sz w:val="18"/>
        </w:rPr>
      </w:pPr>
      <w:r>
        <w:rPr>
          <w:rFonts w:ascii="Calibri"/>
          <w:b/>
          <w:spacing w:val="-5"/>
          <w:sz w:val="18"/>
        </w:rPr>
        <w:t>78</w:t>
      </w:r>
      <w:r>
        <w:rPr>
          <w:rFonts w:ascii="Calibri"/>
          <w:b/>
          <w:sz w:val="18"/>
        </w:rPr>
        <w:tab/>
      </w:r>
      <w:r>
        <w:rPr>
          <w:rFonts w:ascii="Calibri"/>
          <w:spacing w:val="-2"/>
          <w:sz w:val="18"/>
        </w:rPr>
        <w:t>42131</w:t>
      </w:r>
    </w:p>
    <w:p>
      <w:pPr>
        <w:spacing w:line="198" w:lineRule="exact" w:before="0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Ceste</w:t>
      </w:r>
    </w:p>
    <w:p>
      <w:pPr>
        <w:spacing w:line="198" w:lineRule="exact" w:before="0"/>
        <w:ind w:left="610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20.000,00</w:t>
      </w:r>
    </w:p>
    <w:p>
      <w:pPr>
        <w:spacing w:after="0" w:line="198" w:lineRule="exact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3" w:equalWidth="0">
            <w:col w:w="1799" w:space="40"/>
            <w:col w:w="733" w:space="6474"/>
            <w:col w:w="1784"/>
          </w:cols>
        </w:sectPr>
      </w:pPr>
    </w:p>
    <w:p>
      <w:pPr>
        <w:pStyle w:val="BodyText"/>
        <w:spacing w:before="3" w:after="1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5810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566534" cy="581025"/>
                          <a:chExt cx="6566534" cy="5810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13"/>
                            <a:ext cx="6566534" cy="361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361315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870"/>
                                </a:lnTo>
                                <a:lnTo>
                                  <a:pt x="6566027" y="360870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09" y="0"/>
                            <a:ext cx="6558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1270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0"/>
                                </a:lnTo>
                                <a:lnTo>
                                  <a:pt x="6558407" y="1220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359919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9" y="359944"/>
                            <a:ext cx="6558915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0979">
                                <a:moveTo>
                                  <a:pt x="6558407" y="219557"/>
                                </a:moveTo>
                                <a:lnTo>
                                  <a:pt x="0" y="219557"/>
                                </a:lnTo>
                                <a:lnTo>
                                  <a:pt x="0" y="220776"/>
                                </a:lnTo>
                                <a:lnTo>
                                  <a:pt x="6558407" y="220776"/>
                                </a:lnTo>
                                <a:lnTo>
                                  <a:pt x="6558407" y="219557"/>
                                </a:lnTo>
                                <a:close/>
                              </a:path>
                              <a:path w="6558915" h="220979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"/>
                                </a:lnTo>
                                <a:lnTo>
                                  <a:pt x="6558407" y="1828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6046190" y="395475"/>
                            <a:ext cx="47942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20.000,00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49250" y="395475"/>
                            <a:ext cx="89471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520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6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Pomoći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6046190" y="73657"/>
                            <a:ext cx="47942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20.000,00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98539" y="73657"/>
                            <a:ext cx="1868805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3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Akt/projekt: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72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Proširenje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javne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rasvjete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322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K101331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45.75pt;mso-position-horizontal-relative:char;mso-position-vertical-relative:line" id="docshapegroup17" coordorigin="0,0" coordsize="10341,915">
                <v:rect style="position:absolute;left:0;top:0;width:10341;height:569" id="docshape18" filled="true" fillcolor="#f1f1f1" stroked="false">
                  <v:fill type="solid"/>
                </v:rect>
                <v:rect style="position:absolute;left:0;top:0;width:10329;height:2" id="docshape19" filled="true" fillcolor="#000000" stroked="false">
                  <v:fill type="solid"/>
                </v:rect>
                <v:rect style="position:absolute;left:0;top:566;width:10341;height:348" id="docshape20" filled="true" fillcolor="#ccffcc" stroked="false">
                  <v:fill type="solid"/>
                </v:rect>
                <v:shape style="position:absolute;left:0;top:566;width:10329;height:348" id="docshape21" coordorigin="1,567" coordsize="10329,348" path="m10329,913l1,913,1,915,10329,915,10329,913xm10329,567l1,567,1,570,10329,570,10329,567xe" filled="true" fillcolor="#000000" stroked="false">
                  <v:path arrowok="t"/>
                  <v:fill type="solid"/>
                </v:shape>
                <v:shape style="position:absolute;left:9521;top:622;width:755;height:181" type="#_x0000_t202" id="docshape22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20.000,00</w:t>
                        </w:r>
                      </w:p>
                    </w:txbxContent>
                  </v:textbox>
                  <w10:wrap type="none"/>
                </v:shape>
                <v:shape style="position:absolute;left:392;top:622;width:1409;height:181" type="#_x0000_t202" id="docshape23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520</w:t>
                        </w:r>
                        <w:r>
                          <w:rPr>
                            <w:rFonts w:ascii="Calibri" w:hAnsi="Calibri"/>
                            <w:b/>
                            <w:spacing w:val="6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Pomoći</w:t>
                        </w:r>
                      </w:p>
                    </w:txbxContent>
                  </v:textbox>
                  <w10:wrap type="none"/>
                </v:shape>
                <v:shape style="position:absolute;left:9521;top:116;width:755;height:181" type="#_x0000_t202" id="docshape24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20.000,00</w:t>
                        </w:r>
                      </w:p>
                    </w:txbxContent>
                  </v:textbox>
                  <w10:wrap type="none"/>
                </v:shape>
                <v:shape style="position:absolute;left:155;top:116;width:2943;height:399" type="#_x0000_t202" id="docshape25" filled="false" stroked="false">
                  <v:textbox inset="0,0,0,0">
                    <w:txbxContent>
                      <w:p>
                        <w:pPr>
                          <w:spacing w:line="183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Akt/projekt:</w:t>
                        </w:r>
                        <w:r>
                          <w:rPr>
                            <w:rFonts w:ascii="Calibri" w:hAnsi="Calibri"/>
                            <w:b/>
                            <w:spacing w:val="72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Proširenje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javne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rasvjete</w:t>
                        </w:r>
                      </w:p>
                      <w:p>
                        <w:pPr>
                          <w:spacing w:line="216" w:lineRule="exact" w:before="0"/>
                          <w:ind w:left="322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K101331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top="920" w:bottom="280" w:left="720" w:right="360"/>
        </w:sectPr>
      </w:pPr>
    </w:p>
    <w:p>
      <w:pPr>
        <w:spacing w:line="212" w:lineRule="exact" w:before="0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184</w:t>
      </w:r>
    </w:p>
    <w:p>
      <w:pPr>
        <w:spacing w:line="212" w:lineRule="exact" w:before="0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42147</w:t>
      </w:r>
    </w:p>
    <w:p>
      <w:pPr>
        <w:spacing w:line="212" w:lineRule="exact" w:before="0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Javna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pacing w:val="-2"/>
          <w:sz w:val="18"/>
        </w:rPr>
        <w:t>rasvjeta</w:t>
      </w:r>
    </w:p>
    <w:p>
      <w:pPr>
        <w:spacing w:line="212" w:lineRule="exact" w:before="0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20.000,00</w:t>
      </w:r>
    </w:p>
    <w:p>
      <w:pPr>
        <w:spacing w:after="0" w:line="212" w:lineRule="exact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4" w:equalWidth="0">
            <w:col w:w="840" w:space="40"/>
            <w:col w:w="920" w:space="39"/>
            <w:col w:w="1355" w:space="5898"/>
            <w:col w:w="1738"/>
          </w:cols>
        </w:sectPr>
      </w:pPr>
    </w:p>
    <w:p>
      <w:pPr>
        <w:pStyle w:val="BodyText"/>
        <w:spacing w:before="1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598170"/>
                <wp:effectExtent l="0" t="0" r="0" b="1904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6566534" cy="598170"/>
                          <a:chExt cx="6566534" cy="59817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566534" cy="37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377825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7647"/>
                                </a:lnTo>
                                <a:lnTo>
                                  <a:pt x="6566027" y="377647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09" y="23"/>
                            <a:ext cx="655891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190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30"/>
                                </a:lnTo>
                                <a:lnTo>
                                  <a:pt x="6558407" y="1830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376681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09" y="376681"/>
                            <a:ext cx="6558915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0979">
                                <a:moveTo>
                                  <a:pt x="6558407" y="219710"/>
                                </a:moveTo>
                                <a:lnTo>
                                  <a:pt x="0" y="219710"/>
                                </a:lnTo>
                                <a:lnTo>
                                  <a:pt x="0" y="220929"/>
                                </a:lnTo>
                                <a:lnTo>
                                  <a:pt x="6558407" y="220929"/>
                                </a:lnTo>
                                <a:lnTo>
                                  <a:pt x="6558407" y="219710"/>
                                </a:lnTo>
                                <a:close/>
                              </a:path>
                              <a:path w="6558915" h="220979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6192240" y="412365"/>
                            <a:ext cx="33210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400,00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49250" y="412365"/>
                            <a:ext cx="1529080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110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6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Opći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prihodi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primici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6103848" y="73656"/>
                            <a:ext cx="42100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4.900,00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98539" y="73656"/>
                            <a:ext cx="498348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3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Akt/projekt: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68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Zamjena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(rekonstrukcija)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postojeće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javne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rasvjete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ekološki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prihvatljivom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LED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rasvjetom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na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322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K101468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5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području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Općine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Lanišće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47.1pt;mso-position-horizontal-relative:char;mso-position-vertical-relative:line" id="docshapegroup26" coordorigin="0,0" coordsize="10341,942">
                <v:rect style="position:absolute;left:0;top:0;width:10341;height:595" id="docshape27" filled="true" fillcolor="#f1f1f1" stroked="false">
                  <v:fill type="solid"/>
                </v:rect>
                <v:rect style="position:absolute;left:0;top:0;width:10329;height:3" id="docshape28" filled="true" fillcolor="#000000" stroked="false">
                  <v:fill type="solid"/>
                </v:rect>
                <v:rect style="position:absolute;left:0;top:593;width:10341;height:348" id="docshape29" filled="true" fillcolor="#ccffcc" stroked="false">
                  <v:fill type="solid"/>
                </v:rect>
                <v:shape style="position:absolute;left:0;top:593;width:10329;height:348" id="docshape30" coordorigin="1,593" coordsize="10329,348" path="m10329,939l1,939,1,941,10329,941,10329,939xm10329,593l1,593,1,595,10329,595,10329,593xe" filled="true" fillcolor="#000000" stroked="false">
                  <v:path arrowok="t"/>
                  <v:fill type="solid"/>
                </v:shape>
                <v:shape style="position:absolute;left:9751;top:649;width:523;height:181" type="#_x0000_t202" id="docshape31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400,00</w:t>
                        </w:r>
                      </w:p>
                    </w:txbxContent>
                  </v:textbox>
                  <w10:wrap type="none"/>
                </v:shape>
                <v:shape style="position:absolute;left:392;top:649;width:2408;height:181" type="#_x0000_t202" id="docshape32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110</w:t>
                        </w:r>
                        <w:r>
                          <w:rPr>
                            <w:rFonts w:ascii="Calibri" w:hAnsi="Calibri"/>
                            <w:b/>
                            <w:spacing w:val="6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Opći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prihodi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primici</w:t>
                        </w:r>
                      </w:p>
                    </w:txbxContent>
                  </v:textbox>
                  <w10:wrap type="none"/>
                </v:shape>
                <v:shape style="position:absolute;left:9612;top:116;width:663;height:181" type="#_x0000_t202" id="docshape33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4.900,00</w:t>
                        </w:r>
                      </w:p>
                    </w:txbxContent>
                  </v:textbox>
                  <w10:wrap type="none"/>
                </v:shape>
                <v:shape style="position:absolute;left:155;top:116;width:7848;height:399" type="#_x0000_t202" id="docshape34" filled="false" stroked="false">
                  <v:textbox inset="0,0,0,0">
                    <w:txbxContent>
                      <w:p>
                        <w:pPr>
                          <w:spacing w:line="183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Akt/projekt:</w:t>
                        </w:r>
                        <w:r>
                          <w:rPr>
                            <w:rFonts w:ascii="Calibri" w:hAnsi="Calibri"/>
                            <w:b/>
                            <w:spacing w:val="68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Zamjena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(rekonstrukcija)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postojeće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javne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rasvjete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ekološki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prihvatljivom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LED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rasvjetom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na</w:t>
                        </w:r>
                      </w:p>
                      <w:p>
                        <w:pPr>
                          <w:spacing w:line="216" w:lineRule="exact" w:before="0"/>
                          <w:ind w:left="322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K101468</w:t>
                        </w:r>
                        <w:r>
                          <w:rPr>
                            <w:rFonts w:ascii="Calibri" w:hAnsi="Calibri"/>
                            <w:b/>
                            <w:spacing w:val="5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području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Općine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Lanišće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top="920" w:bottom="280" w:left="720" w:right="360"/>
        </w:sectPr>
      </w:pPr>
    </w:p>
    <w:p>
      <w:pPr>
        <w:spacing w:line="209" w:lineRule="exact" w:before="0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473</w:t>
      </w:r>
    </w:p>
    <w:p>
      <w:pPr>
        <w:spacing w:line="209" w:lineRule="exact" w:before="0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32321</w:t>
      </w:r>
    </w:p>
    <w:p>
      <w:pPr>
        <w:spacing w:before="119"/>
        <w:ind w:left="0" w:right="93" w:firstLine="0"/>
        <w:jc w:val="right"/>
        <w:rPr>
          <w:rFonts w:ascii="Calibri"/>
          <w:sz w:val="18"/>
        </w:rPr>
      </w:pPr>
      <w:r>
        <w:rPr>
          <w:rFonts w:ascii="Calibri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539394</wp:posOffset>
                </wp:positionH>
                <wp:positionV relativeFrom="paragraph">
                  <wp:posOffset>235265</wp:posOffset>
                </wp:positionV>
                <wp:extent cx="6566534" cy="22161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6566534" cy="221615"/>
                          <a:chExt cx="6566534" cy="22161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27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09" y="1"/>
                            <a:ext cx="655891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1615">
                                <a:moveTo>
                                  <a:pt x="6558407" y="219684"/>
                                </a:moveTo>
                                <a:lnTo>
                                  <a:pt x="0" y="219684"/>
                                </a:lnTo>
                                <a:lnTo>
                                  <a:pt x="0" y="221208"/>
                                </a:lnTo>
                                <a:lnTo>
                                  <a:pt x="6558407" y="221208"/>
                                </a:lnTo>
                                <a:lnTo>
                                  <a:pt x="6558407" y="219684"/>
                                </a:lnTo>
                                <a:close/>
                              </a:path>
                              <a:path w="6558915" h="22161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3"/>
                                </a:lnTo>
                                <a:lnTo>
                                  <a:pt x="6558407" y="2133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2135"/>
                            <a:ext cx="6566534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751" w:val="left" w:leader="none"/>
                                </w:tabs>
                                <w:spacing w:before="16"/>
                                <w:ind w:left="392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411</w:t>
                              </w:r>
                              <w:r>
                                <w:rPr>
                                  <w:rFonts w:ascii="Calibri"/>
                                  <w:b/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Komunalni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 doprinos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500,00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472pt;margin-top:18.524851pt;width:517.0500pt;height:17.45pt;mso-position-horizontal-relative:page;mso-position-vertical-relative:paragraph;z-index:15733760" id="docshapegroup35" coordorigin="849,370" coordsize="10341,349">
                <v:rect style="position:absolute;left:849;top:370;width:10341;height:348" id="docshape36" filled="true" fillcolor="#ccffcc" stroked="false">
                  <v:fill type="solid"/>
                </v:rect>
                <v:shape style="position:absolute;left:850;top:370;width:10329;height:349" id="docshape37" coordorigin="850,370" coordsize="10329,349" path="m11179,716l850,716,850,719,11179,719,11179,716xm11179,370l850,370,850,374,11179,374,11179,370xe" filled="true" fillcolor="#000000" stroked="false">
                  <v:path arrowok="t"/>
                  <v:fill type="solid"/>
                </v:shape>
                <v:shape style="position:absolute;left:849;top:373;width:10341;height:343" type="#_x0000_t202" id="docshape38" filled="false" stroked="false">
                  <v:textbox inset="0,0,0,0">
                    <w:txbxContent>
                      <w:p>
                        <w:pPr>
                          <w:tabs>
                            <w:tab w:pos="9751" w:val="left" w:leader="none"/>
                          </w:tabs>
                          <w:spacing w:before="16"/>
                          <w:ind w:left="392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411</w:t>
                        </w:r>
                        <w:r>
                          <w:rPr>
                            <w:rFonts w:ascii="Calibri"/>
                            <w:b/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Komunalni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 doprinos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500,00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spacing w:val="-10"/>
          <w:sz w:val="18"/>
        </w:rPr>
        <w:t>1</w:t>
      </w:r>
    </w:p>
    <w:p>
      <w:pPr>
        <w:spacing w:line="369" w:lineRule="auto" w:before="0"/>
        <w:ind w:left="287" w:right="38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Usluge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tekućeg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i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investicijskog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održavanja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građevinskih</w:t>
      </w:r>
      <w:r>
        <w:rPr>
          <w:rFonts w:ascii="Calibri" w:hAnsi="Calibri"/>
          <w:spacing w:val="-8"/>
          <w:sz w:val="18"/>
        </w:rPr>
        <w:t> </w:t>
      </w:r>
      <w:r>
        <w:rPr>
          <w:rFonts w:ascii="Calibri" w:hAnsi="Calibri"/>
          <w:sz w:val="18"/>
        </w:rPr>
        <w:t>objekata STRUČNI ELEKTROTEHNIČKI NADZOR</w:t>
      </w:r>
    </w:p>
    <w:p>
      <w:pPr>
        <w:spacing w:line="209" w:lineRule="exact" w:before="0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400,00</w:t>
      </w:r>
    </w:p>
    <w:p>
      <w:pPr>
        <w:spacing w:before="119"/>
        <w:ind w:left="565" w:right="0" w:firstLine="0"/>
        <w:jc w:val="left"/>
        <w:rPr>
          <w:rFonts w:ascii="Calibri"/>
          <w:sz w:val="18"/>
        </w:rPr>
      </w:pPr>
      <w:r>
        <w:rPr>
          <w:rFonts w:ascii="Calibri"/>
          <w:spacing w:val="-2"/>
          <w:sz w:val="18"/>
        </w:rPr>
        <w:t>400,00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4" w:equalWidth="0">
            <w:col w:w="840" w:space="40"/>
            <w:col w:w="920" w:space="39"/>
            <w:col w:w="5015" w:space="2465"/>
            <w:col w:w="1511"/>
          </w:cols>
        </w:sectPr>
      </w:pPr>
    </w:p>
    <w:p>
      <w:pPr>
        <w:pStyle w:val="BodyText"/>
        <w:spacing w:before="9"/>
        <w:rPr>
          <w:rFonts w:ascii="Calibri"/>
          <w:sz w:val="16"/>
        </w:rPr>
      </w:pPr>
    </w:p>
    <w:p>
      <w:pPr>
        <w:pStyle w:val="BodyText"/>
        <w:spacing w:after="0"/>
        <w:rPr>
          <w:rFonts w:ascii="Calibri"/>
          <w:sz w:val="16"/>
        </w:rPr>
        <w:sectPr>
          <w:type w:val="continuous"/>
          <w:pgSz w:w="11910" w:h="16840"/>
          <w:pgMar w:top="920" w:bottom="280" w:left="720" w:right="360"/>
        </w:sectPr>
      </w:pPr>
    </w:p>
    <w:p>
      <w:pPr>
        <w:spacing w:before="64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473</w:t>
      </w:r>
    </w:p>
    <w:p>
      <w:pPr>
        <w:spacing w:before="64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42147</w:t>
      </w:r>
    </w:p>
    <w:p>
      <w:pPr>
        <w:spacing w:before="64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Javna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pacing w:val="-2"/>
          <w:sz w:val="18"/>
        </w:rPr>
        <w:t>rasvjeta</w:t>
      </w:r>
    </w:p>
    <w:p>
      <w:pPr>
        <w:spacing w:before="64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500,00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4" w:equalWidth="0">
            <w:col w:w="840" w:space="40"/>
            <w:col w:w="920" w:space="39"/>
            <w:col w:w="1355" w:space="6126"/>
            <w:col w:w="1510"/>
          </w:cols>
        </w:sectPr>
      </w:pPr>
    </w:p>
    <w:p>
      <w:pPr>
        <w:pStyle w:val="BodyText"/>
        <w:spacing w:before="1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221615"/>
                <wp:effectExtent l="0" t="0" r="0" b="6985"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6566534" cy="221615"/>
                          <a:chExt cx="6566534" cy="22161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27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09" y="1"/>
                            <a:ext cx="6558915" cy="22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1615">
                                <a:moveTo>
                                  <a:pt x="6558407" y="219989"/>
                                </a:moveTo>
                                <a:lnTo>
                                  <a:pt x="0" y="219989"/>
                                </a:lnTo>
                                <a:lnTo>
                                  <a:pt x="0" y="221208"/>
                                </a:lnTo>
                                <a:lnTo>
                                  <a:pt x="6558407" y="221208"/>
                                </a:lnTo>
                                <a:lnTo>
                                  <a:pt x="6558407" y="219989"/>
                                </a:lnTo>
                                <a:close/>
                              </a:path>
                              <a:path w="6558915" h="22161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33"/>
                                </a:lnTo>
                                <a:lnTo>
                                  <a:pt x="6558407" y="2133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2135"/>
                            <a:ext cx="6566534" cy="218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612" w:val="left" w:leader="none"/>
                                </w:tabs>
                                <w:spacing w:before="16"/>
                                <w:ind w:left="392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520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5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Pomoći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4.000,00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17.45pt;mso-position-horizontal-relative:char;mso-position-vertical-relative:line" id="docshapegroup39" coordorigin="0,0" coordsize="10341,349">
                <v:rect style="position:absolute;left:0;top:0;width:10341;height:348" id="docshape40" filled="true" fillcolor="#ccffcc" stroked="false">
                  <v:fill type="solid"/>
                </v:rect>
                <v:shape style="position:absolute;left:0;top:0;width:10329;height:349" id="docshape41" coordorigin="1,0" coordsize="10329,349" path="m10329,346l1,346,1,348,10329,348,10329,346xm10329,0l1,0,1,3,10329,3,10329,0xe" filled="true" fillcolor="#000000" stroked="false">
                  <v:path arrowok="t"/>
                  <v:fill type="solid"/>
                </v:shape>
                <v:shape style="position:absolute;left:0;top:3;width:10341;height:344" type="#_x0000_t202" id="docshape42" filled="false" stroked="false">
                  <v:textbox inset="0,0,0,0">
                    <w:txbxContent>
                      <w:p>
                        <w:pPr>
                          <w:tabs>
                            <w:tab w:pos="9612" w:val="left" w:leader="none"/>
                          </w:tabs>
                          <w:spacing w:before="16"/>
                          <w:ind w:left="392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520</w:t>
                        </w:r>
                        <w:r>
                          <w:rPr>
                            <w:rFonts w:ascii="Calibri" w:hAnsi="Calibri"/>
                            <w:b/>
                            <w:spacing w:val="58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Pomoći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4.000,00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top="920" w:bottom="280" w:left="720" w:right="360"/>
        </w:sectPr>
      </w:pPr>
    </w:p>
    <w:p>
      <w:pPr>
        <w:spacing w:line="201" w:lineRule="exact" w:before="0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473</w:t>
      </w:r>
    </w:p>
    <w:p>
      <w:pPr>
        <w:spacing w:line="201" w:lineRule="exact" w:before="0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42147</w:t>
      </w:r>
    </w:p>
    <w:p>
      <w:pPr>
        <w:spacing w:line="201" w:lineRule="exact" w:before="0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Javna</w:t>
      </w:r>
      <w:r>
        <w:rPr>
          <w:rFonts w:ascii="Calibri"/>
          <w:spacing w:val="-3"/>
          <w:sz w:val="18"/>
        </w:rPr>
        <w:t> </w:t>
      </w:r>
      <w:r>
        <w:rPr>
          <w:rFonts w:ascii="Calibri"/>
          <w:spacing w:val="-2"/>
          <w:sz w:val="18"/>
        </w:rPr>
        <w:t>rasvjeta</w:t>
      </w:r>
    </w:p>
    <w:p>
      <w:pPr>
        <w:spacing w:line="201" w:lineRule="exact" w:before="0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4.000,00</w:t>
      </w:r>
    </w:p>
    <w:p>
      <w:pPr>
        <w:spacing w:after="0" w:line="201" w:lineRule="exact"/>
        <w:jc w:val="left"/>
        <w:rPr>
          <w:rFonts w:ascii="Calibri"/>
          <w:sz w:val="18"/>
        </w:rPr>
        <w:sectPr>
          <w:type w:val="continuous"/>
          <w:pgSz w:w="11910" w:h="16840"/>
          <w:pgMar w:top="920" w:bottom="280" w:left="720" w:right="360"/>
          <w:cols w:num="4" w:equalWidth="0">
            <w:col w:w="840" w:space="40"/>
            <w:col w:w="920" w:space="39"/>
            <w:col w:w="1355" w:space="5989"/>
            <w:col w:w="1647"/>
          </w:cols>
        </w:sectPr>
      </w:pPr>
    </w:p>
    <w:p>
      <w:pPr>
        <w:pStyle w:val="BodyText"/>
        <w:spacing w:before="4"/>
        <w:rPr>
          <w:rFonts w:ascii="Calibri"/>
          <w:sz w:val="8"/>
        </w:rPr>
      </w:pPr>
    </w:p>
    <w:p>
      <w:pPr>
        <w:pStyle w:val="BodyText"/>
        <w:ind w:left="13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4630" cy="288290"/>
                <wp:effectExtent l="0" t="0" r="0" b="6985"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6564630" cy="288290"/>
                          <a:chExt cx="6564630" cy="28829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6558915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88290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5441442" y="1219"/>
                                </a:lnTo>
                                <a:lnTo>
                                  <a:pt x="5441442" y="287731"/>
                                </a:lnTo>
                                <a:lnTo>
                                  <a:pt x="5443271" y="287731"/>
                                </a:lnTo>
                                <a:lnTo>
                                  <a:pt x="5443271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4624196" y="34160"/>
                            <a:ext cx="61531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6027546" y="35684"/>
                            <a:ext cx="537210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191.400,00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6.9pt;height:22.7pt;mso-position-horizontal-relative:char;mso-position-vertical-relative:line" id="docshapegroup43" coordorigin="0,0" coordsize="10338,454">
                <v:shape style="position:absolute;left:0;top:0;width:10329;height:454" id="docshape44" coordorigin="0,0" coordsize="10329,454" path="m10328,0l0,0,0,2,8569,2,8569,453,8572,453,8572,2,10328,2,10328,0xe" filled="true" fillcolor="#000000" stroked="false">
                  <v:path arrowok="t"/>
                  <v:fill type="solid"/>
                </v:shape>
                <v:shape style="position:absolute;left:7282;top:53;width:969;height:181" type="#_x0000_t202" id="docshape45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SVEUKUPNO</w:t>
                        </w:r>
                      </w:p>
                    </w:txbxContent>
                  </v:textbox>
                  <w10:wrap type="none"/>
                </v:shape>
                <v:shape style="position:absolute;left:9492;top:56;width:846;height:181" type="#_x0000_t202" id="docshape46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191.400,00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73"/>
        <w:rPr>
          <w:rFonts w:ascii="Calibri"/>
          <w:sz w:val="20"/>
        </w:rPr>
      </w:pPr>
    </w:p>
    <w:p>
      <w:pPr>
        <w:pStyle w:val="BodyText"/>
        <w:spacing w:line="20" w:lineRule="exact"/>
        <w:ind w:left="130"/>
        <w:rPr>
          <w:rFonts w:ascii="Calibri"/>
          <w:sz w:val="2"/>
        </w:rPr>
      </w:pPr>
      <w:r>
        <w:rPr>
          <w:rFonts w:ascii="Calibri"/>
          <w:sz w:val="2"/>
        </w:rPr>
        <mc:AlternateContent>
          <mc:Choice Requires="wps">
            <w:drawing>
              <wp:inline distT="0" distB="0" distL="0" distR="0">
                <wp:extent cx="1472565" cy="1270"/>
                <wp:effectExtent l="0" t="0" r="0" b="0"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1472565" cy="1270"/>
                          <a:chExt cx="1472565" cy="127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14725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2565" h="1270">
                                <a:moveTo>
                                  <a:pt x="14723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0"/>
                                </a:lnTo>
                                <a:lnTo>
                                  <a:pt x="1472311" y="1220"/>
                                </a:lnTo>
                                <a:lnTo>
                                  <a:pt x="1472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.95pt;height:.1pt;mso-position-horizontal-relative:char;mso-position-vertical-relative:line" id="docshapegroup47" coordorigin="0,0" coordsize="2319,2">
                <v:rect style="position:absolute;left:0;top:0;width:2319;height:2" id="docshape48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sz w:val="2"/>
        </w:rPr>
      </w:r>
    </w:p>
    <w:p>
      <w:pPr>
        <w:pStyle w:val="BodyText"/>
        <w:spacing w:after="0" w:line="20" w:lineRule="exact"/>
        <w:rPr>
          <w:rFonts w:ascii="Calibri"/>
          <w:sz w:val="2"/>
        </w:rPr>
        <w:sectPr>
          <w:type w:val="continuous"/>
          <w:pgSz w:w="11910" w:h="16840"/>
          <w:pgMar w:top="920" w:bottom="280" w:left="720" w:right="360"/>
        </w:sectPr>
      </w:pPr>
    </w:p>
    <w:p>
      <w:pPr>
        <w:spacing w:before="55"/>
        <w:ind w:left="150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Stranica </w:t>
      </w:r>
      <w:r>
        <w:rPr>
          <w:rFonts w:ascii="Segoe UI"/>
          <w:color w:val="212A35"/>
          <w:spacing w:val="-10"/>
          <w:sz w:val="16"/>
        </w:rPr>
        <w:t>1</w:t>
      </w:r>
    </w:p>
    <w:p>
      <w:pPr>
        <w:spacing w:before="28"/>
        <w:ind w:left="150" w:right="0" w:firstLine="0"/>
        <w:jc w:val="left"/>
        <w:rPr>
          <w:rFonts w:ascii="Segoe UI"/>
          <w:sz w:val="16"/>
        </w:rPr>
      </w:pPr>
      <w:r>
        <w:rPr>
          <w:rFonts w:ascii="Segoe UI"/>
          <w:color w:val="212A35"/>
          <w:sz w:val="16"/>
        </w:rPr>
        <w:t>Vrijeme</w:t>
      </w:r>
      <w:r>
        <w:rPr>
          <w:rFonts w:ascii="Segoe UI"/>
          <w:color w:val="212A35"/>
          <w:spacing w:val="-3"/>
          <w:sz w:val="16"/>
        </w:rPr>
        <w:t> </w:t>
      </w:r>
      <w:r>
        <w:rPr>
          <w:rFonts w:ascii="Segoe UI"/>
          <w:color w:val="212A35"/>
          <w:sz w:val="16"/>
        </w:rPr>
        <w:t>ispisa:</w:t>
      </w:r>
      <w:r>
        <w:rPr>
          <w:rFonts w:ascii="Segoe UI"/>
          <w:color w:val="212A35"/>
          <w:spacing w:val="-2"/>
          <w:sz w:val="16"/>
        </w:rPr>
        <w:t> 11:39:48</w:t>
      </w:r>
    </w:p>
    <w:p>
      <w:pPr>
        <w:spacing w:before="117"/>
        <w:ind w:left="0" w:right="1950" w:firstLine="0"/>
        <w:jc w:val="right"/>
        <w:rPr>
          <w:rFonts w:ascii="Segoe UI" w:hAnsi="Segoe UI"/>
          <w:sz w:val="16"/>
        </w:rPr>
      </w:pPr>
      <w:r>
        <w:rPr/>
        <w:br w:type="column"/>
      </w:r>
      <w:r>
        <w:rPr>
          <w:rFonts w:ascii="Segoe UI" w:hAnsi="Segoe UI"/>
          <w:spacing w:val="-2"/>
          <w:sz w:val="16"/>
        </w:rPr>
        <w:t>Informatička</w:t>
      </w:r>
    </w:p>
    <w:p>
      <w:pPr>
        <w:spacing w:before="2"/>
        <w:ind w:left="0" w:right="1952" w:firstLine="0"/>
        <w:jc w:val="right"/>
        <w:rPr>
          <w:rFonts w:ascii="Segoe UI"/>
          <w:sz w:val="16"/>
        </w:rPr>
      </w:pPr>
      <w:r>
        <w:rPr>
          <w:rFonts w:ascii="Segoe UI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6113017</wp:posOffset>
                </wp:positionH>
                <wp:positionV relativeFrom="paragraph">
                  <wp:posOffset>-145879</wp:posOffset>
                </wp:positionV>
                <wp:extent cx="897255" cy="293370"/>
                <wp:effectExtent l="0" t="0" r="0" b="0"/>
                <wp:wrapNone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897255" cy="293370"/>
                          <a:chExt cx="897255" cy="293370"/>
                        </a:xfrm>
                      </wpg:grpSpPr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03" y="62236"/>
                            <a:ext cx="864920" cy="1177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190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293370">
                                <a:moveTo>
                                  <a:pt x="1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2849"/>
                                </a:lnTo>
                                <a:lnTo>
                                  <a:pt x="1525" y="292849"/>
                                </a:lnTo>
                                <a:lnTo>
                                  <a:pt x="1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1.339996pt;margin-top:-11.486556pt;width:70.650pt;height:23.1pt;mso-position-horizontal-relative:page;mso-position-vertical-relative:paragraph;z-index:15734272" id="docshapegroup49" coordorigin="9627,-230" coordsize="1413,462">
                <v:shape style="position:absolute;left:9677;top:-132;width:1363;height:186" type="#_x0000_t75" id="docshape50" stroked="false">
                  <v:imagedata r:id="rId7" o:title=""/>
                </v:shape>
                <v:rect style="position:absolute;left:9626;top:-230;width:3;height:462" id="docshape51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Segoe UI"/>
          <w:spacing w:val="-2"/>
          <w:sz w:val="16"/>
        </w:rPr>
        <w:t>obrada</w:t>
      </w:r>
    </w:p>
    <w:sectPr>
      <w:type w:val="continuous"/>
      <w:pgSz w:w="11910" w:h="16840"/>
      <w:pgMar w:top="920" w:bottom="280" w:left="720" w:right="360"/>
      <w:cols w:num="2" w:equalWidth="0">
        <w:col w:w="1833" w:space="6005"/>
        <w:col w:w="29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Segoe UI">
    <w:altName w:val="Segoe UI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"/>
      <w:lvlJc w:val="left"/>
      <w:pPr>
        <w:ind w:left="895" w:hanging="33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2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782" w:hanging="339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664" w:hanging="339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546" w:hanging="339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428" w:hanging="339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310" w:hanging="339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192" w:hanging="339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7074" w:hanging="339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956" w:hanging="339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hr-HR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hr-HR" w:eastAsia="en-US" w:bidi="ar-SA"/>
    </w:rPr>
  </w:style>
  <w:style w:styleId="Heading2" w:type="paragraph">
    <w:name w:val="Heading 2"/>
    <w:basedOn w:val="Normal"/>
    <w:uiPriority w:val="1"/>
    <w:qFormat/>
    <w:pPr>
      <w:ind w:left="4401"/>
      <w:jc w:val="both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spacing w:before="6"/>
      <w:ind w:left="893" w:hanging="337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2025-12-22T11:09:44Z</dcterms:created>
  <dcterms:modified xsi:type="dcterms:W3CDTF">2025-12-22T11:09:44Z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