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98"/>
        <w:rPr>
          <w:sz w:val="20"/>
        </w:rPr>
      </w:pPr>
      <w:r>
        <w:rPr>
          <w:sz w:val="20"/>
        </w:rPr>
        <w:drawing>
          <wp:inline distT="0" distB="0" distL="0" distR="0">
            <wp:extent cx="523021" cy="666083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21" cy="66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4" w:lineRule="auto" w:before="140"/>
        <w:ind w:left="420" w:right="5910" w:hanging="168"/>
        <w:jc w:val="left"/>
        <w:rPr>
          <w:b/>
          <w:sz w:val="22"/>
        </w:rPr>
      </w:pPr>
      <w:r>
        <w:rPr>
          <w:sz w:val="22"/>
        </w:rPr>
        <w:t>REPUBLIKA</w:t>
      </w:r>
      <w:r>
        <w:rPr>
          <w:spacing w:val="-24"/>
          <w:sz w:val="22"/>
        </w:rPr>
        <w:t> </w:t>
      </w:r>
      <w:r>
        <w:rPr>
          <w:sz w:val="22"/>
        </w:rPr>
        <w:t>HRVATSKA ISTARSKA ŽUPANIJA </w:t>
      </w:r>
      <w:r>
        <w:rPr>
          <w:b/>
          <w:sz w:val="22"/>
        </w:rPr>
        <w:t>OPĆINA LANIŠĆE</w:t>
      </w:r>
    </w:p>
    <w:p>
      <w:pPr>
        <w:pStyle w:val="BodyText"/>
        <w:spacing w:before="3"/>
        <w:ind w:left="755"/>
      </w:pPr>
      <w:r>
        <w:rPr/>
        <w:t>Općinsko</w:t>
      </w:r>
      <w:r>
        <w:rPr>
          <w:spacing w:val="8"/>
        </w:rPr>
        <w:t> </w:t>
      </w:r>
      <w:r>
        <w:rPr>
          <w:spacing w:val="-2"/>
        </w:rPr>
        <w:t>vijeće</w:t>
      </w:r>
    </w:p>
    <w:p>
      <w:pPr>
        <w:pStyle w:val="BodyText"/>
        <w:spacing w:before="12"/>
      </w:pPr>
    </w:p>
    <w:p>
      <w:pPr>
        <w:pStyle w:val="BodyText"/>
        <w:spacing w:line="244" w:lineRule="auto" w:before="1"/>
        <w:ind w:left="273" w:right="5910"/>
      </w:pPr>
      <w:r>
        <w:rPr/>
        <w:t>KLASA: 400-01/25-01/03 URBROJ: 2163-23-01/02-25-</w:t>
      </w:r>
      <w:r>
        <w:rPr/>
        <w:t>12</w:t>
      </w:r>
    </w:p>
    <w:p>
      <w:pPr>
        <w:pStyle w:val="BodyText"/>
        <w:spacing w:before="4"/>
        <w:ind w:left="273"/>
      </w:pPr>
      <w:r>
        <w:rPr/>
        <w:t>Lanišće,</w:t>
      </w:r>
      <w:r>
        <w:rPr>
          <w:spacing w:val="3"/>
        </w:rPr>
        <w:t> </w:t>
      </w:r>
      <w:r>
        <w:rPr/>
        <w:t>15.</w:t>
      </w:r>
      <w:r>
        <w:rPr>
          <w:spacing w:val="8"/>
        </w:rPr>
        <w:t> </w:t>
      </w:r>
      <w:r>
        <w:rPr/>
        <w:t>prosinac</w:t>
      </w:r>
      <w:r>
        <w:rPr>
          <w:spacing w:val="4"/>
        </w:rPr>
        <w:t> </w:t>
      </w:r>
      <w:r>
        <w:rPr>
          <w:spacing w:val="-2"/>
        </w:rPr>
        <w:t>2025.</w:t>
      </w:r>
    </w:p>
    <w:p>
      <w:pPr>
        <w:pStyle w:val="BodyText"/>
        <w:spacing w:before="37"/>
      </w:pPr>
    </w:p>
    <w:p>
      <w:pPr>
        <w:pStyle w:val="BodyText"/>
        <w:spacing w:line="244" w:lineRule="auto"/>
        <w:ind w:left="292" w:right="245"/>
        <w:jc w:val="both"/>
      </w:pPr>
      <w:r>
        <w:rPr/>
        <w:t>Temeljem članka</w:t>
      </w:r>
      <w:r>
        <w:rPr>
          <w:spacing w:val="40"/>
        </w:rPr>
        <w:t> </w:t>
      </w:r>
      <w:r>
        <w:rPr/>
        <w:t>72.</w:t>
      </w:r>
      <w:r>
        <w:rPr>
          <w:spacing w:val="40"/>
        </w:rPr>
        <w:t> </w:t>
      </w:r>
      <w:r>
        <w:rPr/>
        <w:t>Zakona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komunalnom</w:t>
      </w:r>
      <w:r>
        <w:rPr>
          <w:spacing w:val="40"/>
        </w:rPr>
        <w:t> </w:t>
      </w:r>
      <w:r>
        <w:rPr/>
        <w:t>gospodarstvu</w:t>
      </w:r>
      <w:r>
        <w:rPr>
          <w:spacing w:val="40"/>
        </w:rPr>
        <w:t> </w:t>
      </w:r>
      <w:r>
        <w:rPr/>
        <w:t>(„Narodne</w:t>
      </w:r>
      <w:r>
        <w:rPr>
          <w:spacing w:val="40"/>
        </w:rPr>
        <w:t> </w:t>
      </w:r>
      <w:r>
        <w:rPr/>
        <w:t>novine“</w:t>
      </w:r>
      <w:r>
        <w:rPr>
          <w:spacing w:val="40"/>
        </w:rPr>
        <w:t> </w:t>
      </w:r>
      <w:r>
        <w:rPr/>
        <w:t>broj 68/18., 110/18., 32/20., 145/24.)</w:t>
      </w:r>
      <w:r>
        <w:rPr>
          <w:spacing w:val="40"/>
        </w:rPr>
        <w:t> </w:t>
      </w:r>
      <w:r>
        <w:rPr/>
        <w:t>i članka 41. Statuta Općine Lanišće (“Službene novine Općine Lanišće”, broj 6/17.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“Službene</w:t>
      </w:r>
      <w:r>
        <w:rPr>
          <w:spacing w:val="40"/>
        </w:rPr>
        <w:t> </w:t>
      </w:r>
      <w:r>
        <w:rPr/>
        <w:t>novine</w:t>
      </w:r>
      <w:r>
        <w:rPr>
          <w:spacing w:val="40"/>
        </w:rPr>
        <w:t> </w:t>
      </w:r>
      <w:r>
        <w:rPr/>
        <w:t>Istarske</w:t>
      </w:r>
      <w:r>
        <w:rPr>
          <w:spacing w:val="40"/>
        </w:rPr>
        <w:t> </w:t>
      </w:r>
      <w:r>
        <w:rPr/>
        <w:t>županije”</w:t>
      </w:r>
      <w:r>
        <w:rPr>
          <w:spacing w:val="40"/>
        </w:rPr>
        <w:t> </w:t>
      </w:r>
      <w:r>
        <w:rPr/>
        <w:t>broj</w:t>
      </w:r>
      <w:r>
        <w:rPr>
          <w:spacing w:val="40"/>
        </w:rPr>
        <w:t> </w:t>
      </w:r>
      <w:r>
        <w:rPr/>
        <w:t>9/18.,</w:t>
      </w:r>
      <w:r>
        <w:rPr>
          <w:spacing w:val="40"/>
        </w:rPr>
        <w:t> </w:t>
      </w:r>
      <w:r>
        <w:rPr/>
        <w:t>7/21.,</w:t>
      </w:r>
      <w:r>
        <w:rPr>
          <w:spacing w:val="40"/>
        </w:rPr>
        <w:t> </w:t>
      </w:r>
      <w:r>
        <w:rPr/>
        <w:t>20/21.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22/21.),</w:t>
      </w:r>
      <w:r>
        <w:rPr>
          <w:spacing w:val="40"/>
        </w:rPr>
        <w:t> </w:t>
      </w:r>
      <w:r>
        <w:rPr/>
        <w:t>Općinsko vijeće</w:t>
      </w:r>
      <w:r>
        <w:rPr>
          <w:spacing w:val="40"/>
        </w:rPr>
        <w:t> </w:t>
      </w:r>
      <w:r>
        <w:rPr/>
        <w:t>Općine</w:t>
      </w:r>
      <w:r>
        <w:rPr>
          <w:spacing w:val="80"/>
        </w:rPr>
        <w:t> </w:t>
      </w:r>
      <w:r>
        <w:rPr/>
        <w:t>Lanišće na sjednici održanoj 15. prosinca 2025. godine, donosi</w:t>
      </w:r>
    </w:p>
    <w:p>
      <w:pPr>
        <w:pStyle w:val="BodyText"/>
        <w:spacing w:before="217"/>
      </w:pPr>
    </w:p>
    <w:p>
      <w:pPr>
        <w:pStyle w:val="Heading1"/>
        <w:ind w:right="3"/>
      </w:pPr>
      <w:r>
        <w:rPr>
          <w:spacing w:val="-2"/>
        </w:rPr>
        <w:t>PROGRAM</w:t>
      </w:r>
    </w:p>
    <w:p>
      <w:pPr>
        <w:spacing w:line="252" w:lineRule="auto" w:before="11"/>
        <w:ind w:left="1791" w:right="1537" w:firstLine="0"/>
        <w:jc w:val="center"/>
        <w:rPr>
          <w:b/>
          <w:sz w:val="22"/>
        </w:rPr>
      </w:pPr>
      <w:r>
        <w:rPr>
          <w:b/>
          <w:sz w:val="22"/>
        </w:rPr>
        <w:t>održavanja objekata i uređaja komunalne</w:t>
      </w:r>
      <w:r>
        <w:rPr>
          <w:b/>
          <w:spacing w:val="40"/>
          <w:sz w:val="22"/>
        </w:rPr>
        <w:t> </w:t>
      </w:r>
      <w:r>
        <w:rPr>
          <w:b/>
          <w:sz w:val="22"/>
        </w:rPr>
        <w:t>infrastrukture Općine Lanišće za 2026. godinu</w:t>
      </w:r>
    </w:p>
    <w:p>
      <w:pPr>
        <w:pStyle w:val="BodyText"/>
        <w:spacing w:before="12"/>
        <w:rPr>
          <w:b/>
        </w:rPr>
      </w:pPr>
    </w:p>
    <w:p>
      <w:pPr>
        <w:spacing w:before="0"/>
        <w:ind w:left="4233" w:right="0" w:firstLine="0"/>
        <w:jc w:val="both"/>
        <w:rPr>
          <w:b/>
          <w:sz w:val="21"/>
        </w:rPr>
      </w:pPr>
      <w:r>
        <w:rPr>
          <w:b/>
          <w:sz w:val="21"/>
        </w:rPr>
        <w:t>Članak</w:t>
      </w:r>
      <w:r>
        <w:rPr>
          <w:b/>
          <w:spacing w:val="13"/>
          <w:sz w:val="21"/>
        </w:rPr>
        <w:t> </w:t>
      </w:r>
      <w:r>
        <w:rPr>
          <w:b/>
          <w:spacing w:val="-5"/>
          <w:sz w:val="21"/>
        </w:rPr>
        <w:t>1.</w:t>
      </w:r>
    </w:p>
    <w:p>
      <w:pPr>
        <w:pStyle w:val="BodyText"/>
        <w:spacing w:line="244" w:lineRule="auto" w:before="6"/>
        <w:ind w:left="141" w:right="148"/>
        <w:jc w:val="both"/>
      </w:pPr>
      <w:r>
        <w:rPr/>
        <w:t>Program održavanja komunalne infrastrukture izrađuje se i donosi u skladu s predvidivim i raspoloživim sredstvima i</w:t>
      </w:r>
      <w:r>
        <w:rPr>
          <w:spacing w:val="-1"/>
        </w:rPr>
        <w:t> </w:t>
      </w:r>
      <w:r>
        <w:rPr/>
        <w:t>izvorima</w:t>
      </w:r>
      <w:r>
        <w:rPr>
          <w:spacing w:val="-1"/>
        </w:rPr>
        <w:t> </w:t>
      </w:r>
      <w:r>
        <w:rPr/>
        <w:t>financiranja. Sukladno</w:t>
      </w:r>
      <w:r>
        <w:rPr>
          <w:spacing w:val="-3"/>
        </w:rPr>
        <w:t> </w:t>
      </w:r>
      <w:r>
        <w:rPr/>
        <w:t>Zakonu</w:t>
      </w:r>
      <w:r>
        <w:rPr>
          <w:spacing w:val="-5"/>
        </w:rPr>
        <w:t> </w:t>
      </w:r>
      <w:r>
        <w:rPr/>
        <w:t>Programom održavanja</w:t>
      </w:r>
      <w:r>
        <w:rPr>
          <w:spacing w:val="-1"/>
        </w:rPr>
        <w:t> </w:t>
      </w:r>
      <w:r>
        <w:rPr/>
        <w:t>komunalne infrastrukture određuju se:</w:t>
      </w:r>
    </w:p>
    <w:p>
      <w:pPr>
        <w:pStyle w:val="ListParagraph"/>
        <w:numPr>
          <w:ilvl w:val="0"/>
          <w:numId w:val="1"/>
        </w:numPr>
        <w:tabs>
          <w:tab w:pos="804" w:val="left" w:leader="none"/>
          <w:tab w:pos="806" w:val="left" w:leader="none"/>
        </w:tabs>
        <w:spacing w:line="247" w:lineRule="auto" w:before="4" w:after="0"/>
        <w:ind w:left="806" w:right="152" w:hanging="339"/>
        <w:jc w:val="both"/>
        <w:rPr>
          <w:sz w:val="22"/>
        </w:rPr>
      </w:pPr>
      <w:r>
        <w:rPr>
          <w:sz w:val="22"/>
        </w:rPr>
        <w:t>opis i opseg poslova održavanja komunalne infrastrukture s procjenom pojedinih troškova, po djelatnostima, i</w:t>
      </w:r>
    </w:p>
    <w:p>
      <w:pPr>
        <w:pStyle w:val="ListParagraph"/>
        <w:numPr>
          <w:ilvl w:val="0"/>
          <w:numId w:val="1"/>
        </w:numPr>
        <w:tabs>
          <w:tab w:pos="804" w:val="left" w:leader="none"/>
          <w:tab w:pos="806" w:val="left" w:leader="none"/>
        </w:tabs>
        <w:spacing w:line="244" w:lineRule="auto" w:before="0" w:after="0"/>
        <w:ind w:left="806" w:right="150" w:hanging="339"/>
        <w:jc w:val="both"/>
        <w:rPr>
          <w:sz w:val="22"/>
        </w:rPr>
      </w:pPr>
      <w:r>
        <w:rPr>
          <w:sz w:val="22"/>
        </w:rPr>
        <w:t>iskaz financijskih sredstava potrebnih za ostvarivanje programa, s naznakom izvora </w:t>
      </w:r>
      <w:r>
        <w:rPr>
          <w:spacing w:val="-2"/>
          <w:sz w:val="22"/>
        </w:rPr>
        <w:t>financiranja.</w:t>
      </w:r>
    </w:p>
    <w:p>
      <w:pPr>
        <w:pStyle w:val="BodyText"/>
        <w:spacing w:before="12"/>
      </w:pPr>
    </w:p>
    <w:p>
      <w:pPr>
        <w:spacing w:before="1"/>
        <w:ind w:left="4233" w:right="0" w:firstLine="0"/>
        <w:jc w:val="both"/>
        <w:rPr>
          <w:b/>
          <w:sz w:val="21"/>
        </w:rPr>
      </w:pPr>
      <w:r>
        <w:rPr>
          <w:b/>
          <w:sz w:val="21"/>
        </w:rPr>
        <w:t>Članak</w:t>
      </w:r>
      <w:r>
        <w:rPr>
          <w:b/>
          <w:spacing w:val="13"/>
          <w:sz w:val="21"/>
        </w:rPr>
        <w:t> </w:t>
      </w:r>
      <w:r>
        <w:rPr>
          <w:b/>
          <w:spacing w:val="-5"/>
          <w:sz w:val="21"/>
        </w:rPr>
        <w:t>2.</w:t>
      </w:r>
    </w:p>
    <w:p>
      <w:pPr>
        <w:pStyle w:val="BodyText"/>
        <w:spacing w:line="244" w:lineRule="auto" w:before="8"/>
        <w:ind w:left="141" w:right="142"/>
        <w:jc w:val="both"/>
      </w:pPr>
      <w:r>
        <w:rPr/>
        <w:t>Sredstva</w:t>
      </w:r>
      <w:r>
        <w:rPr>
          <w:spacing w:val="-2"/>
        </w:rPr>
        <w:t> </w:t>
      </w:r>
      <w:r>
        <w:rPr/>
        <w:t>potrebna</w:t>
      </w:r>
      <w:r>
        <w:rPr>
          <w:spacing w:val="-1"/>
        </w:rPr>
        <w:t> </w:t>
      </w:r>
      <w:r>
        <w:rPr/>
        <w:t>za ostvarenje</w:t>
      </w:r>
      <w:r>
        <w:rPr>
          <w:spacing w:val="-1"/>
        </w:rPr>
        <w:t> </w:t>
      </w:r>
      <w:r>
        <w:rPr/>
        <w:t>Programa održavanja</w:t>
      </w:r>
      <w:r>
        <w:rPr>
          <w:spacing w:val="-1"/>
        </w:rPr>
        <w:t> </w:t>
      </w:r>
      <w:r>
        <w:rPr/>
        <w:t>objekata i uređaja komunalne</w:t>
      </w:r>
      <w:r>
        <w:rPr>
          <w:spacing w:val="80"/>
        </w:rPr>
        <w:t> </w:t>
      </w:r>
      <w:r>
        <w:rPr/>
        <w:t>infrastrukture</w:t>
      </w:r>
      <w:r>
        <w:rPr>
          <w:spacing w:val="40"/>
        </w:rPr>
        <w:t> </w:t>
      </w:r>
      <w:r>
        <w:rPr/>
        <w:t>za 2026.</w:t>
      </w:r>
      <w:r>
        <w:rPr>
          <w:spacing w:val="40"/>
        </w:rPr>
        <w:t> </w:t>
      </w:r>
      <w:r>
        <w:rPr/>
        <w:t>godinu</w:t>
      </w:r>
      <w:r>
        <w:rPr>
          <w:spacing w:val="40"/>
        </w:rPr>
        <w:t> </w:t>
      </w:r>
      <w:r>
        <w:rPr/>
        <w:t>osigurat</w:t>
      </w:r>
      <w:r>
        <w:rPr>
          <w:spacing w:val="40"/>
        </w:rPr>
        <w:t> </w:t>
      </w:r>
      <w:r>
        <w:rPr/>
        <w:t>će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iz</w:t>
      </w:r>
      <w:r>
        <w:rPr>
          <w:spacing w:val="40"/>
        </w:rPr>
        <w:t> </w:t>
      </w:r>
      <w:r>
        <w:rPr/>
        <w:t>prihoda</w:t>
      </w:r>
      <w:r>
        <w:rPr>
          <w:spacing w:val="40"/>
        </w:rPr>
        <w:t> </w:t>
      </w:r>
      <w:r>
        <w:rPr/>
        <w:t>od</w:t>
      </w:r>
      <w:r>
        <w:rPr>
          <w:spacing w:val="40"/>
        </w:rPr>
        <w:t> </w:t>
      </w:r>
      <w:r>
        <w:rPr/>
        <w:t>komunalne</w:t>
      </w:r>
      <w:r>
        <w:rPr>
          <w:spacing w:val="40"/>
        </w:rPr>
        <w:t> </w:t>
      </w:r>
      <w:r>
        <w:rPr/>
        <w:t>naknade,</w:t>
      </w:r>
      <w:r>
        <w:rPr>
          <w:spacing w:val="40"/>
        </w:rPr>
        <w:t> </w:t>
      </w:r>
      <w:r>
        <w:rPr/>
        <w:t>komunalnog</w:t>
      </w:r>
      <w:r>
        <w:rPr>
          <w:spacing w:val="66"/>
        </w:rPr>
        <w:t> </w:t>
      </w:r>
      <w:r>
        <w:rPr/>
        <w:t>doprinosa,</w:t>
      </w:r>
      <w:r>
        <w:rPr>
          <w:spacing w:val="20"/>
        </w:rPr>
        <w:t> </w:t>
      </w:r>
      <w:r>
        <w:rPr/>
        <w:t>prihoda od prodaja nekretnina te ostalih prihoda proračuna Općine Lanišće.</w:t>
      </w:r>
    </w:p>
    <w:p>
      <w:pPr>
        <w:pStyle w:val="BodyText"/>
        <w:spacing w:line="247" w:lineRule="auto" w:before="3"/>
        <w:ind w:left="141" w:right="145"/>
        <w:jc w:val="both"/>
      </w:pPr>
      <w:r>
        <w:rPr/>
        <w:t>Planirana sredstva za financiranje Programa održavanja objekata i uređaja komunalne</w:t>
      </w:r>
      <w:r>
        <w:rPr>
          <w:spacing w:val="80"/>
        </w:rPr>
        <w:t> </w:t>
      </w:r>
      <w:r>
        <w:rPr/>
        <w:t>infrastrukture za</w:t>
      </w:r>
      <w:r>
        <w:rPr>
          <w:spacing w:val="22"/>
        </w:rPr>
        <w:t> </w:t>
      </w:r>
      <w:r>
        <w:rPr/>
        <w:t>2026.</w:t>
      </w:r>
      <w:r>
        <w:rPr>
          <w:spacing w:val="29"/>
        </w:rPr>
        <w:t> </w:t>
      </w:r>
      <w:r>
        <w:rPr/>
        <w:t>godinu</w:t>
      </w:r>
      <w:r>
        <w:rPr>
          <w:spacing w:val="28"/>
        </w:rPr>
        <w:t> </w:t>
      </w:r>
      <w:r>
        <w:rPr/>
        <w:t>u</w:t>
      </w:r>
      <w:r>
        <w:rPr>
          <w:spacing w:val="29"/>
        </w:rPr>
        <w:t> </w:t>
      </w:r>
      <w:r>
        <w:rPr/>
        <w:t>iznosu</w:t>
      </w:r>
      <w:r>
        <w:rPr>
          <w:spacing w:val="28"/>
        </w:rPr>
        <w:t> </w:t>
      </w:r>
      <w:r>
        <w:rPr/>
        <w:t>od</w:t>
      </w:r>
      <w:r>
        <w:rPr>
          <w:spacing w:val="31"/>
        </w:rPr>
        <w:t> </w:t>
      </w:r>
      <w:r>
        <w:rPr>
          <w:b/>
        </w:rPr>
        <w:t>170.865,00</w:t>
      </w:r>
      <w:r>
        <w:rPr>
          <w:b/>
          <w:spacing w:val="25"/>
        </w:rPr>
        <w:t> </w:t>
      </w:r>
      <w:r>
        <w:rPr>
          <w:b/>
        </w:rPr>
        <w:t>EUR</w:t>
      </w:r>
      <w:r>
        <w:rPr>
          <w:b/>
          <w:spacing w:val="30"/>
        </w:rPr>
        <w:t> </w:t>
      </w:r>
      <w:r>
        <w:rPr/>
        <w:t>rasporedit</w:t>
      </w:r>
      <w:r>
        <w:rPr>
          <w:spacing w:val="29"/>
        </w:rPr>
        <w:t> </w:t>
      </w:r>
      <w:r>
        <w:rPr/>
        <w:t>će</w:t>
      </w:r>
      <w:r>
        <w:rPr>
          <w:spacing w:val="26"/>
        </w:rPr>
        <w:t> </w:t>
      </w:r>
      <w:r>
        <w:rPr/>
        <w:t>se</w:t>
      </w:r>
      <w:r>
        <w:rPr>
          <w:spacing w:val="28"/>
        </w:rPr>
        <w:t> </w:t>
      </w:r>
      <w:r>
        <w:rPr/>
        <w:t>za</w:t>
      </w:r>
      <w:r>
        <w:rPr>
          <w:spacing w:val="28"/>
        </w:rPr>
        <w:t> </w:t>
      </w:r>
      <w:r>
        <w:rPr/>
        <w:t>financiranje</w:t>
      </w:r>
      <w:r>
        <w:rPr>
          <w:spacing w:val="34"/>
        </w:rPr>
        <w:t> </w:t>
      </w:r>
      <w:r>
        <w:rPr/>
        <w:t>sljedećih</w:t>
      </w:r>
      <w:r>
        <w:rPr>
          <w:spacing w:val="-10"/>
        </w:rPr>
        <w:t> </w:t>
      </w:r>
      <w:r>
        <w:rPr>
          <w:spacing w:val="-2"/>
        </w:rPr>
        <w:t>aktivnosti: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53" w:lineRule="exact" w:before="0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Održavanje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potrošnja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javne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rasvjete,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7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Sanacija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održavanje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nerazvrstanih</w:t>
      </w:r>
      <w:r>
        <w:rPr>
          <w:i/>
          <w:spacing w:val="7"/>
          <w:sz w:val="22"/>
        </w:rPr>
        <w:t> </w:t>
      </w:r>
      <w:r>
        <w:rPr>
          <w:i/>
          <w:spacing w:val="-2"/>
          <w:sz w:val="22"/>
        </w:rPr>
        <w:t>cesta,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Održavanje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uređenje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javnih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površina,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Održavanje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uređenje</w:t>
      </w:r>
      <w:r>
        <w:rPr>
          <w:i/>
          <w:spacing w:val="5"/>
          <w:sz w:val="22"/>
        </w:rPr>
        <w:t> </w:t>
      </w:r>
      <w:r>
        <w:rPr>
          <w:i/>
          <w:spacing w:val="-2"/>
          <w:sz w:val="22"/>
        </w:rPr>
        <w:t>groblja,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Zimsko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održavanje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nerazvrstanih</w:t>
      </w:r>
      <w:r>
        <w:rPr>
          <w:i/>
          <w:spacing w:val="10"/>
          <w:sz w:val="22"/>
        </w:rPr>
        <w:t> </w:t>
      </w:r>
      <w:r>
        <w:rPr>
          <w:i/>
          <w:spacing w:val="-2"/>
          <w:sz w:val="22"/>
        </w:rPr>
        <w:t>cesta,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7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Sufinanciranje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rada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komunalnog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redara,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Uređenje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staza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među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grobnim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mjestima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groblju </w:t>
      </w:r>
      <w:r>
        <w:rPr>
          <w:i/>
          <w:spacing w:val="-2"/>
          <w:sz w:val="22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Opreme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održavanje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javnih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površina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području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Općine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Uređenje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opremanje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dječjih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igrališta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13"/>
          <w:sz w:val="22"/>
        </w:rPr>
        <w:t> </w:t>
      </w:r>
      <w:r>
        <w:rPr>
          <w:i/>
          <w:sz w:val="22"/>
        </w:rPr>
        <w:t>području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Općine</w:t>
      </w:r>
      <w:r>
        <w:rPr>
          <w:i/>
          <w:spacing w:val="7"/>
          <w:sz w:val="22"/>
        </w:rPr>
        <w:t> </w:t>
      </w:r>
      <w:r>
        <w:rPr>
          <w:i/>
          <w:spacing w:val="-2"/>
          <w:sz w:val="22"/>
        </w:rPr>
        <w:t>Lanišće,</w:t>
      </w:r>
    </w:p>
    <w:p>
      <w:pPr>
        <w:pStyle w:val="ListParagraph"/>
        <w:numPr>
          <w:ilvl w:val="0"/>
          <w:numId w:val="1"/>
        </w:numPr>
        <w:tabs>
          <w:tab w:pos="817" w:val="left" w:leader="none"/>
        </w:tabs>
        <w:spacing w:line="240" w:lineRule="auto" w:before="6" w:after="0"/>
        <w:ind w:left="817" w:right="0" w:hanging="337"/>
        <w:jc w:val="left"/>
        <w:rPr>
          <w:i/>
          <w:sz w:val="22"/>
        </w:rPr>
      </w:pPr>
      <w:r>
        <w:rPr>
          <w:i/>
          <w:sz w:val="22"/>
        </w:rPr>
        <w:t>Održavanje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krčenje</w:t>
      </w:r>
      <w:r>
        <w:rPr>
          <w:i/>
          <w:spacing w:val="6"/>
          <w:sz w:val="22"/>
        </w:rPr>
        <w:t> </w:t>
      </w:r>
      <w:r>
        <w:rPr>
          <w:i/>
          <w:sz w:val="22"/>
        </w:rPr>
        <w:t>poljskih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4"/>
          <w:sz w:val="22"/>
        </w:rPr>
        <w:t> </w:t>
      </w:r>
      <w:r>
        <w:rPr>
          <w:i/>
          <w:sz w:val="22"/>
        </w:rPr>
        <w:t>šumskih</w:t>
      </w:r>
      <w:r>
        <w:rPr>
          <w:i/>
          <w:spacing w:val="2"/>
          <w:sz w:val="22"/>
        </w:rPr>
        <w:t> </w:t>
      </w:r>
      <w:r>
        <w:rPr>
          <w:i/>
          <w:spacing w:val="-2"/>
          <w:sz w:val="22"/>
        </w:rPr>
        <w:t>puteva,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44" w:lineRule="auto" w:before="7" w:after="0"/>
        <w:ind w:left="818" w:right="144" w:hanging="339"/>
        <w:jc w:val="left"/>
        <w:rPr>
          <w:i/>
          <w:sz w:val="22"/>
        </w:rPr>
      </w:pPr>
      <w:r>
        <w:rPr>
          <w:i/>
          <w:sz w:val="22"/>
        </w:rPr>
        <w:t>Inovativni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prikaz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temperature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kolnika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za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sigurniji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pristup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određenoj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cestovnoj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dionici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na području Općine Lanišće,</w:t>
      </w:r>
    </w:p>
    <w:p>
      <w:pPr>
        <w:pStyle w:val="ListParagraph"/>
        <w:spacing w:after="0" w:line="244" w:lineRule="auto"/>
        <w:jc w:val="left"/>
        <w:rPr>
          <w:i/>
          <w:sz w:val="22"/>
        </w:rPr>
        <w:sectPr>
          <w:type w:val="continuous"/>
          <w:pgSz w:w="12240" w:h="15840"/>
          <w:pgMar w:top="1140" w:bottom="280" w:left="1440" w:right="1440"/>
        </w:sectPr>
      </w:pP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44" w:lineRule="auto" w:before="69" w:after="0"/>
        <w:ind w:left="818" w:right="141" w:hanging="339"/>
        <w:jc w:val="left"/>
        <w:rPr>
          <w:i/>
          <w:sz w:val="22"/>
        </w:rPr>
      </w:pPr>
      <w:r>
        <w:rPr>
          <w:i/>
          <w:sz w:val="22"/>
        </w:rPr>
        <w:t>Informativni panel s ekranom na dodir kao vanjsko centralno mjesto informiranja stanovnika Općine Lanišće i šire javnosti,</w:t>
      </w:r>
    </w:p>
    <w:p>
      <w:pPr>
        <w:pStyle w:val="ListParagraph"/>
        <w:numPr>
          <w:ilvl w:val="0"/>
          <w:numId w:val="1"/>
        </w:numPr>
        <w:tabs>
          <w:tab w:pos="816" w:val="left" w:leader="none"/>
          <w:tab w:pos="818" w:val="left" w:leader="none"/>
        </w:tabs>
        <w:spacing w:line="244" w:lineRule="auto" w:before="2" w:after="0"/>
        <w:ind w:left="818" w:right="148" w:hanging="339"/>
        <w:jc w:val="left"/>
        <w:rPr>
          <w:i/>
          <w:sz w:val="22"/>
        </w:rPr>
      </w:pPr>
      <w:r>
        <w:rPr>
          <w:i/>
          <w:sz w:val="22"/>
        </w:rPr>
        <w:t>Smanjenje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utjecaja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na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okoliš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praćenjem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analizom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izmjere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podataka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klimatskih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uvjeta</w:t>
      </w:r>
      <w:r>
        <w:rPr>
          <w:i/>
          <w:spacing w:val="40"/>
          <w:sz w:val="22"/>
        </w:rPr>
        <w:t> </w:t>
      </w:r>
      <w:r>
        <w:rPr>
          <w:i/>
          <w:sz w:val="22"/>
        </w:rPr>
        <w:t>I kvalitete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zraka.</w:t>
      </w:r>
    </w:p>
    <w:p>
      <w:pPr>
        <w:pStyle w:val="BodyText"/>
        <w:spacing w:before="6"/>
        <w:rPr>
          <w:i/>
        </w:rPr>
      </w:pPr>
    </w:p>
    <w:p>
      <w:pPr>
        <w:pStyle w:val="Heading1"/>
        <w:ind w:left="4233"/>
        <w:jc w:val="left"/>
      </w:pPr>
      <w:r>
        <w:rPr/>
        <w:t>Članak</w:t>
      </w:r>
      <w:r>
        <w:rPr>
          <w:spacing w:val="12"/>
        </w:rPr>
        <w:t> </w:t>
      </w:r>
      <w:r>
        <w:rPr>
          <w:spacing w:val="-5"/>
        </w:rPr>
        <w:t>3.</w:t>
      </w:r>
    </w:p>
    <w:p>
      <w:pPr>
        <w:pStyle w:val="BodyText"/>
        <w:spacing w:line="235" w:lineRule="auto" w:before="11"/>
        <w:ind w:left="280" w:right="276"/>
        <w:jc w:val="both"/>
      </w:pPr>
      <w:r>
        <w:rPr/>
        <w:t>Održavanjem</w:t>
      </w:r>
      <w:r>
        <w:rPr>
          <w:spacing w:val="27"/>
        </w:rPr>
        <w:t> </w:t>
      </w:r>
      <w:r>
        <w:rPr/>
        <w:t>objekata i</w:t>
      </w:r>
      <w:r>
        <w:rPr>
          <w:spacing w:val="35"/>
        </w:rPr>
        <w:t> </w:t>
      </w:r>
      <w:r>
        <w:rPr/>
        <w:t>uređaja</w:t>
      </w:r>
      <w:r>
        <w:rPr>
          <w:spacing w:val="33"/>
        </w:rPr>
        <w:t> </w:t>
      </w:r>
      <w:r>
        <w:rPr/>
        <w:t>komunalne infrastrukture nastoje se poboljšati</w:t>
      </w:r>
      <w:r>
        <w:rPr>
          <w:spacing w:val="32"/>
        </w:rPr>
        <w:t> </w:t>
      </w:r>
      <w:r>
        <w:rPr/>
        <w:t>uvjeti</w:t>
      </w:r>
      <w:r>
        <w:rPr>
          <w:spacing w:val="29"/>
        </w:rPr>
        <w:t> </w:t>
      </w:r>
      <w:r>
        <w:rPr/>
        <w:t>stanovanja na području Općine Lanišće.</w:t>
      </w:r>
    </w:p>
    <w:p>
      <w:pPr>
        <w:pStyle w:val="BodyText"/>
        <w:spacing w:before="5"/>
      </w:pPr>
    </w:p>
    <w:p>
      <w:pPr>
        <w:pStyle w:val="BodyText"/>
        <w:spacing w:line="242" w:lineRule="auto"/>
        <w:ind w:left="252" w:right="262"/>
        <w:jc w:val="both"/>
      </w:pPr>
      <w:r>
        <w:rPr/>
        <w:t>Izdaci za </w:t>
      </w:r>
      <w:r>
        <w:rPr>
          <w:b/>
          <w:i/>
        </w:rPr>
        <w:t>Održavanje i potrošnja javne rasvjete </w:t>
      </w:r>
      <w:r>
        <w:rPr/>
        <w:t>podrazumijevaju snošenje troškova utroška električne</w:t>
      </w:r>
      <w:r>
        <w:rPr>
          <w:spacing w:val="40"/>
        </w:rPr>
        <w:t> </w:t>
      </w:r>
      <w:r>
        <w:rPr/>
        <w:t>energije,</w:t>
      </w:r>
      <w:r>
        <w:rPr>
          <w:spacing w:val="40"/>
        </w:rPr>
        <w:t> </w:t>
      </w:r>
      <w:r>
        <w:rPr/>
        <w:t>tekuće</w:t>
      </w:r>
      <w:r>
        <w:rPr>
          <w:spacing w:val="40"/>
        </w:rPr>
        <w:t> </w:t>
      </w:r>
      <w:r>
        <w:rPr/>
        <w:t>i investicijsko</w:t>
      </w:r>
      <w:r>
        <w:rPr>
          <w:spacing w:val="40"/>
        </w:rPr>
        <w:t> </w:t>
      </w:r>
      <w:r>
        <w:rPr/>
        <w:t>održavanje uređaja</w:t>
      </w:r>
      <w:r>
        <w:rPr>
          <w:spacing w:val="40"/>
        </w:rPr>
        <w:t> </w:t>
      </w:r>
      <w:r>
        <w:rPr/>
        <w:t>javne</w:t>
      </w:r>
      <w:r>
        <w:rPr>
          <w:spacing w:val="40"/>
        </w:rPr>
        <w:t> </w:t>
      </w:r>
      <w:r>
        <w:rPr/>
        <w:t>rasvjete</w:t>
      </w:r>
      <w:r>
        <w:rPr>
          <w:spacing w:val="40"/>
        </w:rPr>
        <w:t> </w:t>
      </w:r>
      <w:r>
        <w:rPr/>
        <w:t>za rasvjetljavanje javnih površina, javnih cesta koje prolaze kroz naselje i nerazvrstanih cesta. Održavanje javne rasvjete na području Općine regulirano je Ugovorom o održavanju javne rasvjete. Intervencije na održavanju javne rasvjete izvode se u prosjeku 4-5 puta godišnje što ovisi o samim kvarovima na rasvjetnim tijelima. S obzirom da se je 2022. i 2023. godine zamijenila postojeća javna rasvjeta s novom LED rasvjetom očekuje se smanjenje troškova električne energije i održavanja. Za tu aktivnost planirana su sredstva u iznosu od 12.700,00 EUR.</w:t>
      </w:r>
    </w:p>
    <w:p>
      <w:pPr>
        <w:pStyle w:val="BodyText"/>
        <w:spacing w:before="2"/>
      </w:pPr>
    </w:p>
    <w:p>
      <w:pPr>
        <w:pStyle w:val="BodyText"/>
        <w:spacing w:line="242" w:lineRule="auto"/>
        <w:ind w:left="252" w:right="256"/>
        <w:jc w:val="both"/>
      </w:pPr>
      <w:r>
        <w:rPr/>
        <w:t>Pod </w:t>
      </w:r>
      <w:r>
        <w:rPr>
          <w:b/>
          <w:i/>
        </w:rPr>
        <w:t>Sanacijom i održavanjem nerazvrstanih cesta</w:t>
      </w:r>
      <w:r>
        <w:rPr>
          <w:b/>
          <w:i/>
          <w:spacing w:val="40"/>
        </w:rPr>
        <w:t> </w:t>
      </w:r>
      <w:r>
        <w:rPr/>
        <w:t>podrazumijeva se usluga košnje trave za</w:t>
      </w:r>
      <w:r>
        <w:rPr>
          <w:spacing w:val="40"/>
        </w:rPr>
        <w:t> </w:t>
      </w:r>
      <w:r>
        <w:rPr/>
        <w:t>vrijeme ljetnih mjeseci, asfaltiranje rupa nastalih kao posljedica čišćenja snijega ralicom, kao i prijevoz i ugradnja tampona na neasfaltiranim cestama i putevima. Za tu aktivnost predviđena su sredstva u iznosu od 28.900,00 EUR.</w:t>
      </w:r>
    </w:p>
    <w:p>
      <w:pPr>
        <w:pStyle w:val="BodyText"/>
        <w:spacing w:line="242" w:lineRule="auto" w:before="253"/>
        <w:ind w:left="252" w:right="247"/>
        <w:jc w:val="both"/>
      </w:pPr>
      <w:r>
        <w:rPr/>
        <w:t>Za aktivnost </w:t>
      </w:r>
      <w:r>
        <w:rPr>
          <w:b/>
          <w:i/>
        </w:rPr>
        <w:t>Održavanje i uređenje javnih površina </w:t>
      </w:r>
      <w:r>
        <w:rPr/>
        <w:t>u 2026. godini planirana su sredstva u iznosu od 3.500,00 EUR. Ta aktivnost</w:t>
      </w:r>
      <w:r>
        <w:rPr>
          <w:spacing w:val="-1"/>
        </w:rPr>
        <w:t> </w:t>
      </w:r>
      <w:r>
        <w:rPr/>
        <w:t>odnosi se</w:t>
      </w:r>
      <w:r>
        <w:rPr>
          <w:spacing w:val="-3"/>
        </w:rPr>
        <w:t> </w:t>
      </w:r>
      <w:r>
        <w:rPr/>
        <w:t>na</w:t>
      </w:r>
      <w:r>
        <w:rPr>
          <w:spacing w:val="-1"/>
        </w:rPr>
        <w:t> </w:t>
      </w:r>
      <w:r>
        <w:rPr/>
        <w:t>obrezivanje</w:t>
      </w:r>
      <w:r>
        <w:rPr>
          <w:spacing w:val="-14"/>
        </w:rPr>
        <w:t> </w:t>
      </w:r>
      <w:r>
        <w:rPr/>
        <w:t>drveća</w:t>
      </w:r>
      <w:r>
        <w:rPr>
          <w:spacing w:val="-11"/>
        </w:rPr>
        <w:t> </w:t>
      </w:r>
      <w:r>
        <w:rPr/>
        <w:t>na</w:t>
      </w:r>
      <w:r>
        <w:rPr>
          <w:spacing w:val="-9"/>
        </w:rPr>
        <w:t> </w:t>
      </w:r>
      <w:r>
        <w:rPr/>
        <w:t>raznim</w:t>
      </w:r>
      <w:r>
        <w:rPr>
          <w:spacing w:val="-12"/>
        </w:rPr>
        <w:t> </w:t>
      </w:r>
      <w:r>
        <w:rPr/>
        <w:t>lokacijama</w:t>
      </w:r>
      <w:r>
        <w:rPr>
          <w:spacing w:val="-14"/>
        </w:rPr>
        <w:t> </w:t>
      </w:r>
      <w:r>
        <w:rPr/>
        <w:t>kao</w:t>
      </w:r>
      <w:r>
        <w:rPr>
          <w:spacing w:val="-8"/>
        </w:rPr>
        <w:t> </w:t>
      </w:r>
      <w:r>
        <w:rPr/>
        <w:t>što</w:t>
      </w:r>
      <w:r>
        <w:rPr>
          <w:spacing w:val="-8"/>
        </w:rPr>
        <w:t> </w:t>
      </w:r>
      <w:r>
        <w:rPr/>
        <w:t>su</w:t>
      </w:r>
      <w:r>
        <w:rPr>
          <w:spacing w:val="-8"/>
        </w:rPr>
        <w:t> </w:t>
      </w:r>
      <w:r>
        <w:rPr/>
        <w:t>npr. </w:t>
      </w:r>
      <w:r>
        <w:rPr>
          <w:spacing w:val="-2"/>
        </w:rPr>
        <w:t>groblja</w:t>
      </w:r>
      <w:r>
        <w:rPr>
          <w:spacing w:val="-11"/>
        </w:rPr>
        <w:t> </w:t>
      </w:r>
      <w:r>
        <w:rPr>
          <w:spacing w:val="-2"/>
        </w:rPr>
        <w:t>na</w:t>
      </w:r>
      <w:r>
        <w:rPr>
          <w:spacing w:val="-6"/>
        </w:rPr>
        <w:t> </w:t>
      </w:r>
      <w:r>
        <w:rPr>
          <w:spacing w:val="-2"/>
        </w:rPr>
        <w:t>kojima</w:t>
      </w:r>
      <w:r>
        <w:rPr>
          <w:spacing w:val="-11"/>
        </w:rPr>
        <w:t> </w:t>
      </w:r>
      <w:r>
        <w:rPr>
          <w:spacing w:val="-2"/>
        </w:rPr>
        <w:t>prijeti</w:t>
      </w:r>
      <w:r>
        <w:rPr>
          <w:spacing w:val="-10"/>
        </w:rPr>
        <w:t> </w:t>
      </w:r>
      <w:r>
        <w:rPr>
          <w:spacing w:val="-2"/>
        </w:rPr>
        <w:t>opasnost</w:t>
      </w:r>
      <w:r>
        <w:rPr>
          <w:spacing w:val="-10"/>
        </w:rPr>
        <w:t> </w:t>
      </w:r>
      <w:r>
        <w:rPr>
          <w:spacing w:val="-2"/>
        </w:rPr>
        <w:t>od</w:t>
      </w:r>
      <w:r>
        <w:rPr>
          <w:spacing w:val="-6"/>
        </w:rPr>
        <w:t> </w:t>
      </w:r>
      <w:r>
        <w:rPr>
          <w:spacing w:val="-2"/>
        </w:rPr>
        <w:t>padanja</w:t>
      </w:r>
      <w:r>
        <w:rPr>
          <w:spacing w:val="-11"/>
        </w:rPr>
        <w:t> </w:t>
      </w:r>
      <w:r>
        <w:rPr>
          <w:spacing w:val="-2"/>
        </w:rPr>
        <w:t>suhih</w:t>
      </w:r>
      <w:r>
        <w:rPr>
          <w:spacing w:val="-6"/>
        </w:rPr>
        <w:t> </w:t>
      </w:r>
      <w:r>
        <w:rPr>
          <w:spacing w:val="-2"/>
        </w:rPr>
        <w:t>grana, te</w:t>
      </w:r>
      <w:r>
        <w:rPr>
          <w:spacing w:val="-3"/>
        </w:rPr>
        <w:t> </w:t>
      </w:r>
      <w:r>
        <w:rPr>
          <w:spacing w:val="-2"/>
        </w:rPr>
        <w:t>uređenje</w:t>
      </w:r>
      <w:r>
        <w:rPr>
          <w:spacing w:val="-3"/>
        </w:rPr>
        <w:t> </w:t>
      </w:r>
      <w:r>
        <w:rPr>
          <w:spacing w:val="-2"/>
        </w:rPr>
        <w:t>naselja</w:t>
      </w:r>
      <w:r>
        <w:rPr>
          <w:spacing w:val="-3"/>
        </w:rPr>
        <w:t> </w:t>
      </w:r>
      <w:r>
        <w:rPr>
          <w:spacing w:val="-2"/>
        </w:rPr>
        <w:t>sadnjom cvijeća</w:t>
      </w:r>
      <w:r>
        <w:rPr>
          <w:spacing w:val="-3"/>
        </w:rPr>
        <w:t> </w:t>
      </w:r>
      <w:r>
        <w:rPr>
          <w:spacing w:val="-2"/>
        </w:rPr>
        <w:t>i</w:t>
      </w:r>
      <w:r>
        <w:rPr>
          <w:spacing w:val="-4"/>
        </w:rPr>
        <w:t> </w:t>
      </w:r>
      <w:r>
        <w:rPr>
          <w:spacing w:val="-2"/>
        </w:rPr>
        <w:t>drugim aktivnostima.</w:t>
      </w:r>
    </w:p>
    <w:p>
      <w:pPr>
        <w:pStyle w:val="BodyText"/>
        <w:spacing w:before="4"/>
      </w:pPr>
    </w:p>
    <w:p>
      <w:pPr>
        <w:pStyle w:val="BodyText"/>
        <w:spacing w:line="242" w:lineRule="auto"/>
        <w:ind w:left="252" w:right="261"/>
        <w:jc w:val="both"/>
      </w:pPr>
      <w:r>
        <w:rPr/>
        <w:t>S obzirom da Općina Lanišće u 2026. godini planira preuzeti groblja i staviti ih pod svoje upravljanje, sredstva predviđena u iznosu od 12.400,00 EUR namjeravaju se utrošiti na redovito održavanje groblja kojih na području Općine Lanišće ima jedanaest.</w:t>
      </w:r>
    </w:p>
    <w:p>
      <w:pPr>
        <w:pStyle w:val="BodyText"/>
        <w:spacing w:before="5"/>
      </w:pPr>
    </w:p>
    <w:p>
      <w:pPr>
        <w:pStyle w:val="BodyText"/>
        <w:spacing w:line="242" w:lineRule="auto"/>
        <w:ind w:left="252" w:right="257"/>
        <w:jc w:val="both"/>
      </w:pPr>
      <w:r>
        <w:rPr/>
        <w:t>Pod </w:t>
      </w:r>
      <w:r>
        <w:rPr>
          <w:b/>
          <w:i/>
        </w:rPr>
        <w:t>Zimsko održavanje nerazvrstanih cesta </w:t>
      </w:r>
      <w:r>
        <w:rPr/>
        <w:t>podrazumijeva se čišćenje ulica i nerazvrstanih cesta od snijega i posipavanje za vrijeme poledica i to na slijedećim dionicama: Prapoće-Klenovšćak, Slum-Nugla, odvojak za Kropinjak, ulice kroz Račju Vas, Rašpor, Vodice – cesta do groblja, cesta kroz naselje Jelovic, naselje Brgudac, naselje Lanišće te je za tu aktivnost u 2026. godini planirano utrošiti 6.135,00 EUR.</w:t>
      </w:r>
    </w:p>
    <w:p>
      <w:pPr>
        <w:pStyle w:val="BodyText"/>
        <w:spacing w:before="3"/>
      </w:pPr>
    </w:p>
    <w:p>
      <w:pPr>
        <w:pStyle w:val="BodyText"/>
        <w:spacing w:line="247" w:lineRule="auto"/>
        <w:ind w:left="252" w:right="151"/>
        <w:jc w:val="both"/>
      </w:pPr>
      <w:r>
        <w:rPr/>
        <w:t>Općina Lanišće, u okviru Zajedničke službe zajedno s još tri općine sufinancira dio troškova rada komunalnog redara. U tu je svrhu u Proračunu predviđeno 7.800,00 EUR, što obuhvaća dio troškova goriva za službeno vozilo, dio plaće komunalnog redara sa svim pripadajućim pravima te paušalne troškove potrebne za obavljanje redarstvenih poslova.</w:t>
      </w:r>
    </w:p>
    <w:p>
      <w:pPr>
        <w:pStyle w:val="BodyText"/>
        <w:spacing w:line="244" w:lineRule="auto"/>
        <w:ind w:left="252" w:right="157"/>
        <w:jc w:val="both"/>
      </w:pPr>
      <w:r>
        <w:rPr/>
        <w:t>Posebno, u Proračunu je osigurano dodatnih 1.000,00 EUR za provedbu uvida u stanje svih ruševnih objekata na području Općine Lanišće te za pokretanje odgovarajućih postupaka vezanih uz njihovo uklanjanje i sanaciju.</w:t>
      </w:r>
    </w:p>
    <w:p>
      <w:pPr>
        <w:pStyle w:val="BodyText"/>
        <w:spacing w:before="7"/>
      </w:pPr>
    </w:p>
    <w:p>
      <w:pPr>
        <w:spacing w:before="0"/>
        <w:ind w:left="252" w:right="0" w:firstLine="0"/>
        <w:jc w:val="both"/>
        <w:rPr>
          <w:b/>
          <w:i/>
          <w:sz w:val="22"/>
        </w:rPr>
      </w:pP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2026. godini</w:t>
      </w:r>
      <w:r>
        <w:rPr>
          <w:spacing w:val="-3"/>
          <w:sz w:val="22"/>
        </w:rPr>
        <w:t> </w:t>
      </w:r>
      <w:r>
        <w:rPr>
          <w:sz w:val="22"/>
        </w:rPr>
        <w:t>planirana</w:t>
      </w:r>
      <w:r>
        <w:rPr>
          <w:spacing w:val="1"/>
          <w:sz w:val="22"/>
        </w:rPr>
        <w:t> </w:t>
      </w:r>
      <w:r>
        <w:rPr>
          <w:sz w:val="22"/>
        </w:rPr>
        <w:t>je aktivnost</w:t>
      </w:r>
      <w:r>
        <w:rPr>
          <w:spacing w:val="5"/>
          <w:sz w:val="22"/>
        </w:rPr>
        <w:t> </w:t>
      </w:r>
      <w:r>
        <w:rPr>
          <w:b/>
          <w:i/>
          <w:sz w:val="22"/>
        </w:rPr>
        <w:t>Uređenje staza</w:t>
      </w:r>
      <w:r>
        <w:rPr>
          <w:b/>
          <w:i/>
          <w:spacing w:val="2"/>
          <w:sz w:val="22"/>
        </w:rPr>
        <w:t> </w:t>
      </w:r>
      <w:r>
        <w:rPr>
          <w:b/>
          <w:i/>
          <w:sz w:val="22"/>
        </w:rPr>
        <w:t>među</w:t>
      </w:r>
      <w:r>
        <w:rPr>
          <w:b/>
          <w:i/>
          <w:spacing w:val="2"/>
          <w:sz w:val="22"/>
        </w:rPr>
        <w:t> </w:t>
      </w:r>
      <w:r>
        <w:rPr>
          <w:b/>
          <w:i/>
          <w:sz w:val="22"/>
        </w:rPr>
        <w:t>grobnim mjestima</w:t>
      </w:r>
      <w:r>
        <w:rPr>
          <w:b/>
          <w:i/>
          <w:spacing w:val="2"/>
          <w:sz w:val="22"/>
        </w:rPr>
        <w:t> </w:t>
      </w:r>
      <w:r>
        <w:rPr>
          <w:b/>
          <w:i/>
          <w:sz w:val="22"/>
        </w:rPr>
        <w:t>na groblju</w:t>
      </w:r>
      <w:r>
        <w:rPr>
          <w:b/>
          <w:i/>
          <w:spacing w:val="1"/>
          <w:sz w:val="22"/>
        </w:rPr>
        <w:t> </w:t>
      </w:r>
      <w:r>
        <w:rPr>
          <w:b/>
          <w:i/>
          <w:spacing w:val="-2"/>
          <w:sz w:val="22"/>
        </w:rPr>
        <w:t>Lanišće</w:t>
      </w:r>
    </w:p>
    <w:p>
      <w:pPr>
        <w:pStyle w:val="BodyText"/>
        <w:spacing w:before="6"/>
        <w:ind w:left="252"/>
        <w:jc w:val="both"/>
      </w:pPr>
      <w:r>
        <w:rPr/>
        <w:t>u</w:t>
      </w:r>
      <w:r>
        <w:rPr>
          <w:spacing w:val="3"/>
        </w:rPr>
        <w:t> </w:t>
      </w:r>
      <w:r>
        <w:rPr/>
        <w:t>iznosu</w:t>
      </w:r>
      <w:r>
        <w:rPr>
          <w:spacing w:val="1"/>
        </w:rPr>
        <w:t> </w:t>
      </w:r>
      <w:r>
        <w:rPr/>
        <w:t>od</w:t>
      </w:r>
      <w:r>
        <w:rPr>
          <w:spacing w:val="10"/>
        </w:rPr>
        <w:t> </w:t>
      </w:r>
      <w:r>
        <w:rPr/>
        <w:t>20.000,00</w:t>
      </w:r>
      <w:r>
        <w:rPr>
          <w:spacing w:val="6"/>
        </w:rPr>
        <w:t> </w:t>
      </w:r>
      <w:r>
        <w:rPr/>
        <w:t>EUR.</w:t>
      </w:r>
      <w:r>
        <w:rPr>
          <w:spacing w:val="6"/>
        </w:rPr>
        <w:t> </w:t>
      </w:r>
      <w:r>
        <w:rPr/>
        <w:t>Ta</w:t>
      </w:r>
      <w:r>
        <w:rPr>
          <w:spacing w:val="5"/>
        </w:rPr>
        <w:t> </w:t>
      </w:r>
      <w:r>
        <w:rPr/>
        <w:t>aktivnost</w:t>
      </w:r>
      <w:r>
        <w:rPr>
          <w:spacing w:val="6"/>
        </w:rPr>
        <w:t> </w:t>
      </w:r>
      <w:r>
        <w:rPr/>
        <w:t>podrazumijeva</w:t>
      </w:r>
      <w:r>
        <w:rPr>
          <w:spacing w:val="4"/>
        </w:rPr>
        <w:t> </w:t>
      </w:r>
      <w:r>
        <w:rPr/>
        <w:t>troškove</w:t>
      </w:r>
      <w:r>
        <w:rPr>
          <w:spacing w:val="3"/>
        </w:rPr>
        <w:t> </w:t>
      </w:r>
      <w:r>
        <w:rPr/>
        <w:t>rada</w:t>
      </w:r>
      <w:r>
        <w:rPr>
          <w:spacing w:val="5"/>
        </w:rPr>
        <w:t> </w:t>
      </w:r>
      <w:r>
        <w:rPr/>
        <w:t>te</w:t>
      </w:r>
      <w:r>
        <w:rPr>
          <w:spacing w:val="3"/>
        </w:rPr>
        <w:t> </w:t>
      </w:r>
      <w:r>
        <w:rPr/>
        <w:t>usluge</w:t>
      </w:r>
      <w:r>
        <w:rPr>
          <w:spacing w:val="3"/>
        </w:rPr>
        <w:t> </w:t>
      </w:r>
      <w:r>
        <w:rPr/>
        <w:t>stručnog</w:t>
      </w:r>
      <w:r>
        <w:rPr>
          <w:spacing w:val="7"/>
        </w:rPr>
        <w:t> </w:t>
      </w:r>
      <w:r>
        <w:rPr>
          <w:spacing w:val="-2"/>
        </w:rPr>
        <w:t>nadzora.</w:t>
      </w:r>
    </w:p>
    <w:p>
      <w:pPr>
        <w:pStyle w:val="BodyText"/>
        <w:spacing w:before="15"/>
      </w:pPr>
    </w:p>
    <w:p>
      <w:pPr>
        <w:pStyle w:val="BodyText"/>
        <w:spacing w:line="244" w:lineRule="auto"/>
        <w:ind w:left="252" w:right="148"/>
        <w:jc w:val="both"/>
      </w:pPr>
      <w:r>
        <w:rPr/>
        <w:t>Općina Lanišće i dalje nastavlja s uređenjem i opremanjem dječjih igrališta, osobito u naseljima u kojima takva infrastruktura još nije uspostavljena, kako bi se djeci osigurali kvalitetni, sigurni i dostupni sadržaji za igru. Za 2026. godinu planira se uređenje i opremanje dječjih igrališta u</w:t>
      </w:r>
      <w:r>
        <w:rPr>
          <w:spacing w:val="40"/>
        </w:rPr>
        <w:t> </w:t>
      </w:r>
      <w:r>
        <w:rPr/>
        <w:t>ukupnom iznosu od 27.600,00 EUR.</w:t>
      </w:r>
    </w:p>
    <w:p>
      <w:pPr>
        <w:pStyle w:val="BodyText"/>
        <w:spacing w:after="0" w:line="244" w:lineRule="auto"/>
        <w:jc w:val="both"/>
        <w:sectPr>
          <w:pgSz w:w="12240" w:h="15840"/>
          <w:pgMar w:top="1000" w:bottom="280" w:left="1440" w:right="1440"/>
        </w:sectPr>
      </w:pPr>
    </w:p>
    <w:p>
      <w:pPr>
        <w:spacing w:line="244" w:lineRule="auto" w:before="68"/>
        <w:ind w:left="252" w:right="256" w:firstLine="0"/>
        <w:jc w:val="both"/>
        <w:rPr>
          <w:sz w:val="22"/>
        </w:rPr>
      </w:pPr>
      <w:r>
        <w:rPr>
          <w:sz w:val="22"/>
        </w:rPr>
        <w:t>Na aktivnost </w:t>
      </w:r>
      <w:r>
        <w:rPr>
          <w:b/>
          <w:i/>
          <w:sz w:val="22"/>
        </w:rPr>
        <w:t>Nabava opreme za održavanje javnih površina na području Općine Lanišće </w:t>
      </w:r>
      <w:r>
        <w:rPr>
          <w:sz w:val="22"/>
        </w:rPr>
        <w:t>u 2026. godini planira se utrošiti 1.200,00 EUR. Ta aktivnost podrazumijeva trošak goriva te nabavku opreme za održavanje javnih površina.</w:t>
      </w:r>
    </w:p>
    <w:p>
      <w:pPr>
        <w:pStyle w:val="BodyText"/>
        <w:spacing w:before="50"/>
      </w:pPr>
    </w:p>
    <w:p>
      <w:pPr>
        <w:spacing w:line="244" w:lineRule="auto" w:before="0"/>
        <w:ind w:left="280" w:right="146" w:firstLine="0"/>
        <w:jc w:val="both"/>
        <w:rPr>
          <w:sz w:val="22"/>
        </w:rPr>
      </w:pPr>
      <w:r>
        <w:rPr>
          <w:sz w:val="22"/>
        </w:rPr>
        <w:t>U 2026. godini planirana je aktivnost </w:t>
      </w:r>
      <w:r>
        <w:rPr>
          <w:b/>
          <w:i/>
          <w:sz w:val="22"/>
        </w:rPr>
        <w:t>Inovativni prikaz temperature kolnika za sigurniji pristup određenoj cestovnoj dionici na području Općine Lanišće </w:t>
      </w:r>
      <w:r>
        <w:rPr>
          <w:sz w:val="22"/>
        </w:rPr>
        <w:t>u iznosu od 7.350,00 EUR. Ta aktivnost podrazumijeva dobavu i ugradnju uređaja.</w:t>
      </w:r>
    </w:p>
    <w:p>
      <w:pPr>
        <w:pStyle w:val="BodyText"/>
        <w:spacing w:before="10"/>
      </w:pPr>
    </w:p>
    <w:p>
      <w:pPr>
        <w:spacing w:line="244" w:lineRule="auto" w:before="0"/>
        <w:ind w:left="242" w:right="238" w:firstLine="0"/>
        <w:jc w:val="both"/>
        <w:rPr>
          <w:sz w:val="22"/>
        </w:rPr>
      </w:pPr>
      <w:r>
        <w:rPr>
          <w:sz w:val="22"/>
        </w:rPr>
        <w:t>Pod aktivnosti </w:t>
      </w:r>
      <w:r>
        <w:rPr>
          <w:b/>
          <w:i/>
          <w:sz w:val="22"/>
        </w:rPr>
        <w:t>Informativni panel s ekranom na dodir kao vanjsko centralno mjesto informiranja stanovnika Općine Lanišće i šire javnosti </w:t>
      </w:r>
      <w:r>
        <w:rPr>
          <w:sz w:val="22"/>
        </w:rPr>
        <w:t>u 2026. godini, planirana su sredstva u iznosu od 16.980,00</w:t>
      </w:r>
      <w:r>
        <w:rPr>
          <w:spacing w:val="-14"/>
          <w:sz w:val="22"/>
        </w:rPr>
        <w:t> </w:t>
      </w:r>
      <w:r>
        <w:rPr>
          <w:sz w:val="22"/>
        </w:rPr>
        <w:t>EUR.</w:t>
      </w:r>
      <w:r>
        <w:rPr>
          <w:spacing w:val="-14"/>
          <w:sz w:val="22"/>
        </w:rPr>
        <w:t> </w:t>
      </w:r>
      <w:r>
        <w:rPr>
          <w:sz w:val="22"/>
        </w:rPr>
        <w:t>Ta</w:t>
      </w:r>
      <w:r>
        <w:rPr>
          <w:spacing w:val="-14"/>
          <w:sz w:val="22"/>
        </w:rPr>
        <w:t> </w:t>
      </w:r>
      <w:r>
        <w:rPr>
          <w:sz w:val="22"/>
        </w:rPr>
        <w:t>aktivnost</w:t>
      </w:r>
      <w:r>
        <w:rPr>
          <w:spacing w:val="-12"/>
          <w:sz w:val="22"/>
        </w:rPr>
        <w:t> </w:t>
      </w:r>
      <w:r>
        <w:rPr>
          <w:sz w:val="22"/>
        </w:rPr>
        <w:t>odnosi</w:t>
      </w:r>
      <w:r>
        <w:rPr>
          <w:spacing w:val="-13"/>
          <w:sz w:val="22"/>
        </w:rPr>
        <w:t> </w:t>
      </w:r>
      <w:r>
        <w:rPr>
          <w:sz w:val="22"/>
        </w:rPr>
        <w:t>se</w:t>
      </w:r>
      <w:r>
        <w:rPr>
          <w:spacing w:val="-14"/>
          <w:sz w:val="22"/>
        </w:rPr>
        <w:t> </w:t>
      </w:r>
      <w:r>
        <w:rPr>
          <w:sz w:val="22"/>
        </w:rPr>
        <w:t>na</w:t>
      </w:r>
      <w:r>
        <w:rPr>
          <w:spacing w:val="-11"/>
          <w:sz w:val="22"/>
        </w:rPr>
        <w:t> </w:t>
      </w:r>
      <w:r>
        <w:rPr>
          <w:sz w:val="22"/>
        </w:rPr>
        <w:t>dobavu</w:t>
      </w:r>
      <w:r>
        <w:rPr>
          <w:spacing w:val="-14"/>
          <w:sz w:val="22"/>
        </w:rPr>
        <w:t> </w:t>
      </w:r>
      <w:r>
        <w:rPr>
          <w:sz w:val="22"/>
        </w:rPr>
        <w:t>i</w:t>
      </w:r>
      <w:r>
        <w:rPr>
          <w:spacing w:val="-7"/>
          <w:sz w:val="22"/>
        </w:rPr>
        <w:t> </w:t>
      </w:r>
      <w:r>
        <w:rPr>
          <w:sz w:val="22"/>
        </w:rPr>
        <w:t>postavu</w:t>
      </w:r>
      <w:r>
        <w:rPr>
          <w:spacing w:val="-11"/>
          <w:sz w:val="22"/>
        </w:rPr>
        <w:t> </w:t>
      </w:r>
      <w:r>
        <w:rPr>
          <w:sz w:val="22"/>
        </w:rPr>
        <w:t>te</w:t>
      </w:r>
      <w:r>
        <w:rPr>
          <w:spacing w:val="-11"/>
          <w:sz w:val="22"/>
        </w:rPr>
        <w:t> </w:t>
      </w:r>
      <w:r>
        <w:rPr>
          <w:sz w:val="22"/>
        </w:rPr>
        <w:t>inicijalno</w:t>
      </w:r>
      <w:r>
        <w:rPr>
          <w:spacing w:val="-9"/>
          <w:sz w:val="22"/>
        </w:rPr>
        <w:t> </w:t>
      </w:r>
      <w:r>
        <w:rPr>
          <w:sz w:val="22"/>
        </w:rPr>
        <w:t>programiranje</w:t>
      </w:r>
      <w:r>
        <w:rPr>
          <w:spacing w:val="-14"/>
          <w:sz w:val="22"/>
        </w:rPr>
        <w:t> </w:t>
      </w:r>
      <w:r>
        <w:rPr>
          <w:sz w:val="22"/>
        </w:rPr>
        <w:t>informativnog i interaktivnog panela s ekranom na dodir koji će se postaviti ispred zgrade Općine Lanišće.</w:t>
      </w:r>
    </w:p>
    <w:p>
      <w:pPr>
        <w:pStyle w:val="BodyText"/>
        <w:spacing w:before="47"/>
      </w:pPr>
    </w:p>
    <w:p>
      <w:pPr>
        <w:spacing w:line="244" w:lineRule="auto" w:before="0"/>
        <w:ind w:left="242" w:right="244" w:firstLine="0"/>
        <w:jc w:val="both"/>
        <w:rPr>
          <w:sz w:val="22"/>
        </w:rPr>
      </w:pPr>
      <w:r>
        <w:rPr>
          <w:sz w:val="22"/>
        </w:rPr>
        <w:t>Za </w:t>
      </w:r>
      <w:r>
        <w:rPr>
          <w:b/>
          <w:i/>
          <w:sz w:val="22"/>
        </w:rPr>
        <w:t>Smanjenje utjecaja na okoliš praćenjem i analizom izmjere podataka klimatskih uvjeta i kvalitete zraka </w:t>
      </w:r>
      <w:r>
        <w:rPr>
          <w:sz w:val="22"/>
        </w:rPr>
        <w:t>u 2026. godini planira se utrošiti 20.550,00 EUR. Ta aktivnost podrazumijeva dobavu i montažu mjernog uređaja za mjerenje podataka o vanjskim klimatskim uvjetima i izradu softverskog rješenja „E-Pano“ – digitalnog portala.</w:t>
      </w:r>
    </w:p>
    <w:p>
      <w:pPr>
        <w:pStyle w:val="BodyText"/>
        <w:spacing w:before="85"/>
      </w:pPr>
    </w:p>
    <w:p>
      <w:pPr>
        <w:pStyle w:val="Heading1"/>
        <w:ind w:left="4224"/>
        <w:jc w:val="both"/>
      </w:pPr>
      <w:r>
        <w:rPr/>
        <w:t>Članak</w:t>
      </w:r>
      <w:r>
        <w:rPr>
          <w:spacing w:val="12"/>
        </w:rPr>
        <w:t> </w:t>
      </w:r>
      <w:r>
        <w:rPr>
          <w:spacing w:val="-5"/>
        </w:rPr>
        <w:t>4.</w:t>
      </w:r>
    </w:p>
    <w:p>
      <w:pPr>
        <w:pStyle w:val="BodyText"/>
        <w:spacing w:line="244" w:lineRule="auto" w:before="6"/>
        <w:ind w:left="242" w:right="244"/>
        <w:jc w:val="both"/>
      </w:pPr>
      <w:r>
        <w:rPr/>
        <w:t>Sredstva za ostvarivanje programa iz članka 2. i 3. osiguravaju se u Proračunu Općine Lanišće ovisno o pritjecanju sredstava u Proračun. Sastavni dio ovog izvješća sačinjava i tabelarni prikaz planiranih aktivnosti u 2026. godini.</w:t>
      </w:r>
    </w:p>
    <w:p>
      <w:pPr>
        <w:pStyle w:val="Heading1"/>
        <w:spacing w:before="242"/>
        <w:ind w:left="4224"/>
        <w:jc w:val="both"/>
      </w:pPr>
      <w:r>
        <w:rPr/>
        <w:t>Članak</w:t>
      </w:r>
      <w:r>
        <w:rPr>
          <w:spacing w:val="12"/>
        </w:rPr>
        <w:t> </w:t>
      </w:r>
      <w:r>
        <w:rPr>
          <w:spacing w:val="-5"/>
        </w:rPr>
        <w:t>5.</w:t>
      </w:r>
    </w:p>
    <w:p>
      <w:pPr>
        <w:pStyle w:val="BodyText"/>
        <w:spacing w:line="247" w:lineRule="auto" w:before="6"/>
        <w:ind w:left="242" w:right="238"/>
        <w:jc w:val="both"/>
      </w:pPr>
      <w:r>
        <w:rPr/>
        <w:t>Program održavanja objekata i uređaja komunalne infrastrukture objavit će se u Službenim</w:t>
      </w:r>
      <w:r>
        <w:rPr>
          <w:spacing w:val="40"/>
        </w:rPr>
        <w:t> </w:t>
      </w:r>
      <w:r>
        <w:rPr/>
        <w:t>novinama Istarske županije i na web stranici Općine Lanišće</w:t>
      </w:r>
      <w:r>
        <w:rPr>
          <w:spacing w:val="40"/>
        </w:rPr>
        <w:t> </w:t>
      </w:r>
      <w:r>
        <w:rPr>
          <w:color w:val="0000FF"/>
          <w:u w:val="single" w:color="0000FF"/>
        </w:rPr>
        <w:t>www.lanisce.hr, </w:t>
      </w:r>
      <w:r>
        <w:rPr/>
        <w:t>a stupa na snagu 1. siječnja 2026. godine.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</w:pPr>
    </w:p>
    <w:p>
      <w:pPr>
        <w:pStyle w:val="Heading1"/>
      </w:pPr>
      <w:r>
        <w:rPr/>
        <w:t>OPĆINSKO</w:t>
      </w:r>
      <w:r>
        <w:rPr>
          <w:spacing w:val="-18"/>
        </w:rPr>
        <w:t> </w:t>
      </w:r>
      <w:r>
        <w:rPr/>
        <w:t>VIJEĆE</w:t>
      </w:r>
      <w:r>
        <w:rPr>
          <w:spacing w:val="13"/>
        </w:rPr>
        <w:t> </w:t>
      </w:r>
      <w:r>
        <w:rPr/>
        <w:t>OPĆINE</w:t>
      </w:r>
      <w:r>
        <w:rPr>
          <w:spacing w:val="1"/>
        </w:rPr>
        <w:t> </w:t>
      </w:r>
      <w:r>
        <w:rPr>
          <w:spacing w:val="-2"/>
        </w:rPr>
        <w:t>LANIŠĆE</w:t>
      </w:r>
    </w:p>
    <w:p>
      <w:pPr>
        <w:pStyle w:val="BodyText"/>
        <w:spacing w:before="31"/>
        <w:rPr>
          <w:b/>
        </w:rPr>
      </w:pPr>
    </w:p>
    <w:p>
      <w:pPr>
        <w:pStyle w:val="BodyText"/>
        <w:spacing w:before="1"/>
        <w:ind w:left="5073"/>
      </w:pPr>
      <w:r>
        <w:rPr/>
        <w:t>PREDSJEDNIK</w:t>
      </w:r>
      <w:r>
        <w:rPr>
          <w:spacing w:val="17"/>
        </w:rPr>
        <w:t> </w:t>
      </w:r>
      <w:r>
        <w:rPr/>
        <w:t>OPĆINSKOG</w:t>
      </w:r>
      <w:r>
        <w:rPr>
          <w:spacing w:val="14"/>
        </w:rPr>
        <w:t> </w:t>
      </w:r>
      <w:r>
        <w:rPr>
          <w:spacing w:val="-2"/>
        </w:rPr>
        <w:t>VIJEĆA</w:t>
      </w:r>
    </w:p>
    <w:p>
      <w:pPr>
        <w:spacing w:before="6"/>
        <w:ind w:left="599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Saša</w:t>
      </w:r>
      <w:r>
        <w:rPr>
          <w:b/>
          <w:i/>
          <w:spacing w:val="-10"/>
          <w:sz w:val="22"/>
        </w:rPr>
        <w:t> </w:t>
      </w:r>
      <w:r>
        <w:rPr>
          <w:b/>
          <w:i/>
          <w:sz w:val="22"/>
        </w:rPr>
        <w:t>Aleksić,</w:t>
      </w:r>
      <w:r>
        <w:rPr>
          <w:b/>
          <w:i/>
          <w:spacing w:val="-7"/>
          <w:sz w:val="22"/>
        </w:rPr>
        <w:t> </w:t>
      </w:r>
      <w:r>
        <w:rPr>
          <w:b/>
          <w:i/>
          <w:spacing w:val="-4"/>
          <w:sz w:val="22"/>
        </w:rPr>
        <w:t>v.r.</w:t>
      </w:r>
    </w:p>
    <w:p>
      <w:pPr>
        <w:spacing w:after="0"/>
        <w:jc w:val="left"/>
        <w:rPr>
          <w:b/>
          <w:i/>
          <w:sz w:val="22"/>
        </w:rPr>
        <w:sectPr>
          <w:pgSz w:w="12240" w:h="15840"/>
          <w:pgMar w:top="1260" w:bottom="280" w:left="1440" w:right="1440"/>
        </w:sectPr>
      </w:pPr>
    </w:p>
    <w:p>
      <w:pPr>
        <w:spacing w:line="288" w:lineRule="exact" w:before="25"/>
        <w:ind w:left="150" w:right="0" w:firstLine="0"/>
        <w:jc w:val="left"/>
        <w:rPr>
          <w:rFonts w:ascii="Calibri"/>
          <w:sz w:val="24"/>
        </w:rPr>
      </w:pPr>
      <w:r>
        <w:rPr>
          <w:rFonts w:ascii="Calibri"/>
          <w:color w:val="212A35"/>
          <w:sz w:val="24"/>
        </w:rPr>
        <w:t>REPUBLIKA</w:t>
      </w:r>
      <w:r>
        <w:rPr>
          <w:rFonts w:ascii="Calibri"/>
          <w:color w:val="212A35"/>
          <w:spacing w:val="-1"/>
          <w:sz w:val="24"/>
        </w:rPr>
        <w:t> </w:t>
      </w:r>
      <w:r>
        <w:rPr>
          <w:rFonts w:ascii="Calibri"/>
          <w:color w:val="212A35"/>
          <w:spacing w:val="-2"/>
          <w:sz w:val="24"/>
        </w:rPr>
        <w:t>HRVATSKA</w:t>
      </w:r>
    </w:p>
    <w:p>
      <w:pPr>
        <w:spacing w:line="288" w:lineRule="exact" w:before="0"/>
        <w:ind w:left="150" w:right="0" w:firstLine="0"/>
        <w:jc w:val="left"/>
        <w:rPr>
          <w:rFonts w:ascii="Calibri" w:hAnsi="Calibri"/>
          <w:sz w:val="24"/>
        </w:rPr>
      </w:pPr>
      <w:r>
        <w:rPr>
          <w:rFonts w:ascii="Calibri" w:hAnsi="Calibri"/>
          <w:color w:val="212A35"/>
          <w:sz w:val="24"/>
        </w:rPr>
        <w:t>ISTARSKA</w:t>
      </w:r>
      <w:r>
        <w:rPr>
          <w:rFonts w:ascii="Calibri" w:hAnsi="Calibri"/>
          <w:color w:val="212A35"/>
          <w:spacing w:val="-1"/>
          <w:sz w:val="24"/>
        </w:rPr>
        <w:t> </w:t>
      </w:r>
      <w:r>
        <w:rPr>
          <w:rFonts w:ascii="Calibri" w:hAnsi="Calibri"/>
          <w:color w:val="212A35"/>
          <w:spacing w:val="-2"/>
          <w:sz w:val="24"/>
        </w:rPr>
        <w:t>ŽUPANIJA</w:t>
      </w:r>
    </w:p>
    <w:p>
      <w:pPr>
        <w:spacing w:line="288" w:lineRule="auto" w:before="103"/>
        <w:ind w:left="1351" w:right="7549" w:firstLine="0"/>
        <w:jc w:val="left"/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703529</wp:posOffset>
            </wp:positionH>
            <wp:positionV relativeFrom="paragraph">
              <wp:posOffset>59875</wp:posOffset>
            </wp:positionV>
            <wp:extent cx="388184" cy="53775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84" cy="53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color w:val="212A35"/>
          <w:sz w:val="20"/>
        </w:rPr>
        <w:t>OPĆINA LANIŠĆE</w:t>
      </w:r>
      <w:r>
        <w:rPr>
          <w:rFonts w:ascii="Calibri" w:hAnsi="Calibri"/>
          <w:b/>
          <w:color w:val="212A35"/>
          <w:spacing w:val="40"/>
          <w:sz w:val="20"/>
        </w:rPr>
        <w:t> </w:t>
      </w:r>
      <w:r>
        <w:rPr>
          <w:rFonts w:ascii="Calibri" w:hAnsi="Calibri"/>
          <w:color w:val="212A35"/>
          <w:sz w:val="18"/>
        </w:rPr>
        <w:t>Lanišće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2,</w:t>
      </w:r>
      <w:r>
        <w:rPr>
          <w:rFonts w:ascii="Calibri" w:hAnsi="Calibri"/>
          <w:color w:val="212A35"/>
          <w:spacing w:val="-10"/>
          <w:sz w:val="18"/>
        </w:rPr>
        <w:t> </w:t>
      </w:r>
      <w:r>
        <w:rPr>
          <w:rFonts w:ascii="Calibri" w:hAnsi="Calibri"/>
          <w:color w:val="212A35"/>
          <w:sz w:val="18"/>
        </w:rPr>
        <w:t>LANIŠĆE,</w:t>
      </w:r>
      <w:r>
        <w:rPr>
          <w:rFonts w:ascii="Calibri" w:hAnsi="Calibri"/>
          <w:color w:val="212A35"/>
          <w:spacing w:val="-9"/>
          <w:sz w:val="18"/>
        </w:rPr>
        <w:t> </w:t>
      </w:r>
      <w:r>
        <w:rPr>
          <w:rFonts w:ascii="Calibri" w:hAnsi="Calibri"/>
          <w:color w:val="212A35"/>
          <w:sz w:val="18"/>
        </w:rPr>
        <w:t>BUZET OIB: 15350077714</w:t>
      </w:r>
    </w:p>
    <w:p>
      <w:pPr>
        <w:pStyle w:val="BodyText"/>
        <w:rPr>
          <w:rFonts w:ascii="Calibri"/>
          <w:sz w:val="18"/>
        </w:rPr>
      </w:pPr>
    </w:p>
    <w:p>
      <w:pPr>
        <w:pStyle w:val="BodyText"/>
        <w:spacing w:before="158"/>
        <w:rPr>
          <w:rFonts w:ascii="Calibri"/>
          <w:sz w:val="18"/>
        </w:rPr>
      </w:pPr>
    </w:p>
    <w:p>
      <w:pPr>
        <w:spacing w:before="0"/>
        <w:ind w:left="149" w:right="0" w:firstLine="0"/>
        <w:jc w:val="left"/>
        <w:rPr>
          <w:rFonts w:ascii="Segoe UI" w:hAnsi="Segoe UI"/>
          <w:sz w:val="36"/>
        </w:rPr>
      </w:pPr>
      <w:r>
        <w:rPr>
          <w:rFonts w:ascii="Segoe UI" w:hAnsi="Segoe UI"/>
          <w:sz w:val="36"/>
        </w:rPr>
        <w:t>PRORAČUN</w:t>
      </w:r>
      <w:r>
        <w:rPr>
          <w:rFonts w:ascii="Segoe UI" w:hAnsi="Segoe UI"/>
          <w:spacing w:val="-1"/>
          <w:sz w:val="36"/>
        </w:rPr>
        <w:t> </w:t>
      </w:r>
      <w:r>
        <w:rPr>
          <w:rFonts w:ascii="Segoe UI" w:hAnsi="Segoe UI"/>
          <w:sz w:val="36"/>
        </w:rPr>
        <w:t>/</w:t>
      </w:r>
      <w:r>
        <w:rPr>
          <w:rFonts w:ascii="Segoe UI" w:hAnsi="Segoe UI"/>
          <w:spacing w:val="-3"/>
          <w:sz w:val="36"/>
        </w:rPr>
        <w:t> </w:t>
      </w:r>
      <w:r>
        <w:rPr>
          <w:rFonts w:ascii="Segoe UI" w:hAnsi="Segoe UI"/>
          <w:sz w:val="36"/>
        </w:rPr>
        <w:t>FIN.</w:t>
      </w:r>
      <w:r>
        <w:rPr>
          <w:rFonts w:ascii="Segoe UI" w:hAnsi="Segoe UI"/>
          <w:spacing w:val="1"/>
          <w:sz w:val="36"/>
        </w:rPr>
        <w:t> </w:t>
      </w:r>
      <w:r>
        <w:rPr>
          <w:rFonts w:ascii="Segoe UI" w:hAnsi="Segoe UI"/>
          <w:spacing w:val="-4"/>
          <w:sz w:val="36"/>
        </w:rPr>
        <w:t>PLAN</w:t>
      </w:r>
    </w:p>
    <w:p>
      <w:pPr>
        <w:spacing w:before="36"/>
        <w:ind w:left="149" w:right="0" w:firstLine="0"/>
        <w:jc w:val="left"/>
        <w:rPr>
          <w:rFonts w:ascii="Segoe UI"/>
          <w:sz w:val="26"/>
        </w:rPr>
      </w:pPr>
      <w:r>
        <w:rPr>
          <w:rFonts w:ascii="Segoe UI"/>
          <w:sz w:val="26"/>
        </w:rPr>
        <w:t>RASHODI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</w:t>
      </w:r>
      <w:r>
        <w:rPr>
          <w:rFonts w:ascii="Segoe UI"/>
          <w:spacing w:val="-2"/>
          <w:sz w:val="26"/>
        </w:rPr>
        <w:t> </w:t>
      </w:r>
      <w:r>
        <w:rPr>
          <w:rFonts w:ascii="Segoe UI"/>
          <w:sz w:val="26"/>
        </w:rPr>
        <w:t>IZDACI</w:t>
      </w:r>
      <w:r>
        <w:rPr>
          <w:rFonts w:ascii="Segoe UI"/>
          <w:spacing w:val="-1"/>
          <w:sz w:val="26"/>
        </w:rPr>
        <w:t> </w:t>
      </w:r>
      <w:r>
        <w:rPr>
          <w:rFonts w:ascii="Segoe UI"/>
          <w:sz w:val="26"/>
        </w:rPr>
        <w:t>PO</w:t>
      </w:r>
      <w:r>
        <w:rPr>
          <w:rFonts w:ascii="Segoe UI"/>
          <w:spacing w:val="-3"/>
          <w:sz w:val="26"/>
        </w:rPr>
        <w:t> </w:t>
      </w:r>
      <w:r>
        <w:rPr>
          <w:rFonts w:ascii="Segoe UI"/>
          <w:spacing w:val="-2"/>
          <w:sz w:val="26"/>
        </w:rPr>
        <w:t>PROGRAMIMA</w:t>
      </w:r>
    </w:p>
    <w:p>
      <w:pPr>
        <w:pStyle w:val="BodyText"/>
        <w:rPr>
          <w:rFonts w:ascii="Segoe UI"/>
          <w:sz w:val="20"/>
        </w:rPr>
      </w:pPr>
    </w:p>
    <w:p>
      <w:pPr>
        <w:pStyle w:val="BodyText"/>
        <w:spacing w:before="153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539394</wp:posOffset>
                </wp:positionH>
                <wp:positionV relativeFrom="paragraph">
                  <wp:posOffset>281610</wp:posOffset>
                </wp:positionV>
                <wp:extent cx="6566534" cy="365125"/>
                <wp:effectExtent l="0" t="0" r="0" b="0"/>
                <wp:wrapTopAndBottom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566534" cy="365125"/>
                          <a:chExt cx="6566534" cy="3651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09" y="623"/>
                            <a:ext cx="655955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0" h="360680">
                                <a:moveTo>
                                  <a:pt x="65590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0260"/>
                                </a:lnTo>
                                <a:lnTo>
                                  <a:pt x="6559042" y="360260"/>
                                </a:lnTo>
                                <a:lnTo>
                                  <a:pt x="65590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09" y="0"/>
                            <a:ext cx="6558915" cy="36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365125">
                                <a:moveTo>
                                  <a:pt x="6558407" y="362686"/>
                                </a:moveTo>
                                <a:lnTo>
                                  <a:pt x="0" y="362686"/>
                                </a:lnTo>
                                <a:lnTo>
                                  <a:pt x="0" y="364820"/>
                                </a:lnTo>
                                <a:lnTo>
                                  <a:pt x="6558407" y="364820"/>
                                </a:lnTo>
                                <a:lnTo>
                                  <a:pt x="6558407" y="362686"/>
                                </a:lnTo>
                                <a:close/>
                              </a:path>
                              <a:path w="6558915" h="36512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1220"/>
                            <a:ext cx="6566534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77" w:val="left" w:leader="none"/>
                                  <w:tab w:pos="2064" w:val="left" w:leader="none"/>
                                  <w:tab w:pos="9168" w:val="left" w:leader="none"/>
                                </w:tabs>
                                <w:spacing w:before="72"/>
                                <w:ind w:left="148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position w:val="1"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Pozicija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Račun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  <w:t>Naziv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računa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position w:val="1"/>
                                  <w:sz w:val="18"/>
                                </w:rPr>
                                <w:t>Plan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472pt;margin-top:22.174017pt;width:517.0500pt;height:28.75pt;mso-position-horizontal-relative:page;mso-position-vertical-relative:paragraph;z-index:-15728640;mso-wrap-distance-left:0;mso-wrap-distance-right:0" id="docshapegroup7" coordorigin="849,443" coordsize="10341,575">
                <v:rect style="position:absolute;left:850;top:444;width:10330;height:568" id="docshape8" filled="true" fillcolor="#f1f1f1" stroked="false">
                  <v:fill type="solid"/>
                </v:rect>
                <v:shape style="position:absolute;left:850;top:443;width:10329;height:575" id="docshape9" coordorigin="850,443" coordsize="10329,575" path="m11179,1015l850,1015,850,1018,11179,1018,11179,1015xm11179,443l850,443,850,445,11179,445,11179,443xe" filled="true" fillcolor="#000000" stroked="false">
                  <v:path arrowok="t"/>
                  <v:fill type="solid"/>
                </v:shape>
                <v:shape style="position:absolute;left:849;top:445;width:10341;height:570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1177" w:val="left" w:leader="none"/>
                            <w:tab w:pos="2064" w:val="left" w:leader="none"/>
                            <w:tab w:pos="9168" w:val="left" w:leader="none"/>
                          </w:tabs>
                          <w:spacing w:before="72"/>
                          <w:ind w:left="148" w:right="0" w:firstLine="0"/>
                          <w:jc w:val="left"/>
                          <w:rPr>
                            <w:rFonts w:ascii="Calibri" w:hAnsi="Calibri"/>
                            <w:b/>
                            <w:position w:val="1"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Pozicija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Račun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  <w:t>Naziv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računa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position w:val="1"/>
                            <w:sz w:val="18"/>
                          </w:rPr>
                          <w:t>Plan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Segoe UI"/>
          <w:sz w:val="12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5"/>
        <w:gridCol w:w="6699"/>
        <w:gridCol w:w="2466"/>
      </w:tblGrid>
      <w:tr>
        <w:trPr>
          <w:trHeight w:val="50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1"/>
                <w:sz w:val="18"/>
              </w:rPr>
              <w:t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3"/>
                <w:sz w:val="18"/>
              </w:rPr>
              <w:t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2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170.865,00</w:t>
            </w:r>
          </w:p>
        </w:tc>
      </w:tr>
      <w:tr>
        <w:trPr>
          <w:trHeight w:val="504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2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170.865,00</w:t>
            </w:r>
          </w:p>
        </w:tc>
      </w:tr>
      <w:tr>
        <w:trPr>
          <w:trHeight w:val="446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1"/>
                <w:sz w:val="18"/>
              </w:rPr>
              <w:t> </w:t>
            </w:r>
            <w:r>
              <w:rPr>
                <w:b/>
                <w:spacing w:val="-4"/>
                <w:sz w:val="18"/>
              </w:rPr>
              <w:t>1011</w:t>
            </w:r>
          </w:p>
        </w:tc>
        <w:tc>
          <w:tcPr>
            <w:tcW w:w="6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OBJEKATA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UREĐAJA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KOMUNALNE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INFRASTRUKTURE</w:t>
            </w:r>
          </w:p>
        </w:tc>
        <w:tc>
          <w:tcPr>
            <w:tcW w:w="2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170.865,00</w:t>
            </w:r>
          </w:p>
        </w:tc>
      </w:tr>
      <w:tr>
        <w:trPr>
          <w:trHeight w:val="559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A101101</w:t>
            </w:r>
          </w:p>
        </w:tc>
        <w:tc>
          <w:tcPr>
            <w:tcW w:w="6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potrošnja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javne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rasvjete</w:t>
            </w:r>
          </w:p>
        </w:tc>
        <w:tc>
          <w:tcPr>
            <w:tcW w:w="2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12.700,00</w:t>
            </w:r>
          </w:p>
        </w:tc>
      </w:tr>
      <w:tr>
        <w:trPr>
          <w:trHeight w:val="341" w:hRule="atLeast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669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46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9.400,00</w:t>
            </w:r>
          </w:p>
        </w:tc>
      </w:tr>
    </w:tbl>
    <w:p>
      <w:pPr>
        <w:pStyle w:val="BodyText"/>
        <w:spacing w:before="13"/>
        <w:rPr>
          <w:rFonts w:ascii="Segoe UI"/>
          <w:sz w:val="3"/>
        </w:r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68"/>
        <w:gridCol w:w="721"/>
        <w:gridCol w:w="6215"/>
        <w:gridCol w:w="2237"/>
      </w:tblGrid>
      <w:tr>
        <w:trPr>
          <w:trHeight w:val="541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</w:t>
            </w: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32231</w:t>
            </w:r>
          </w:p>
        </w:tc>
        <w:tc>
          <w:tcPr>
            <w:tcW w:w="621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left="108"/>
              <w:rPr>
                <w:sz w:val="18"/>
              </w:rPr>
            </w:pPr>
            <w:r>
              <w:rPr>
                <w:sz w:val="18"/>
              </w:rPr>
              <w:t>Električna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energija</w:t>
            </w:r>
          </w:p>
          <w:p>
            <w:pPr>
              <w:pStyle w:val="TableParagraph"/>
              <w:spacing w:before="75"/>
              <w:ind w:left="114"/>
              <w:rPr>
                <w:sz w:val="18"/>
              </w:rPr>
            </w:pPr>
            <w:r>
              <w:rPr>
                <w:sz w:val="18"/>
              </w:rPr>
              <w:t>JAVNA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RASVJETA</w:t>
            </w:r>
          </w:p>
        </w:tc>
        <w:tc>
          <w:tcPr>
            <w:tcW w:w="22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183" w:lineRule="exact" w:before="0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</w:tr>
      <w:tr>
        <w:trPr>
          <w:trHeight w:val="289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74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"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21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održavanja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građevinskih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2237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3.800,00</w:t>
            </w:r>
          </w:p>
        </w:tc>
      </w:tr>
      <w:tr>
        <w:trPr>
          <w:trHeight w:val="306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1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114"/>
              <w:rPr>
                <w:sz w:val="18"/>
              </w:rPr>
            </w:pPr>
            <w:r>
              <w:rPr>
                <w:sz w:val="18"/>
              </w:rPr>
              <w:t>ODRŽAVANJE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REKONSTRUKCIJA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JAVNE</w:t>
            </w:r>
            <w:r>
              <w:rPr>
                <w:spacing w:val="-2"/>
                <w:sz w:val="18"/>
              </w:rPr>
              <w:t> RASVJETE</w:t>
            </w:r>
          </w:p>
        </w:tc>
        <w:tc>
          <w:tcPr>
            <w:tcW w:w="22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3.300,00</w:t>
            </w:r>
          </w:p>
        </w:tc>
      </w:tr>
      <w:tr>
        <w:trPr>
          <w:trHeight w:val="289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596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</w:p>
        </w:tc>
        <w:tc>
          <w:tcPr>
            <w:tcW w:w="621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23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3.300,00</w:t>
            </w:r>
          </w:p>
        </w:tc>
      </w:tr>
      <w:tr>
        <w:trPr>
          <w:trHeight w:val="302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1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21"/>
              <w:ind w:left="114"/>
              <w:rPr>
                <w:sz w:val="18"/>
              </w:rPr>
            </w:pPr>
            <w:r>
              <w:rPr>
                <w:sz w:val="18"/>
              </w:rPr>
              <w:t>PLAN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RASVJETE OPĆINE </w:t>
            </w:r>
            <w:r>
              <w:rPr>
                <w:spacing w:val="-2"/>
                <w:sz w:val="18"/>
              </w:rPr>
              <w:t>LANIŠĆE</w:t>
            </w:r>
          </w:p>
        </w:tc>
        <w:tc>
          <w:tcPr>
            <w:tcW w:w="22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562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A101102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nerazvrstanih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cesta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28.900,00</w:t>
            </w:r>
          </w:p>
        </w:tc>
      </w:tr>
      <w:tr>
        <w:trPr>
          <w:trHeight w:val="340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4.000,00</w:t>
            </w:r>
          </w:p>
        </w:tc>
      </w:tr>
      <w:tr>
        <w:trPr>
          <w:trHeight w:val="313" w:hRule="atLeast"/>
        </w:trPr>
        <w:tc>
          <w:tcPr>
            <w:tcW w:w="1168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721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215" w:type="dxa"/>
            <w:tcBorders>
              <w:top w:val="single" w:sz="2" w:space="0" w:color="000000"/>
            </w:tcBorders>
          </w:tcPr>
          <w:p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7" w:type="dxa"/>
            <w:tcBorders>
              <w:top w:val="single" w:sz="2" w:space="0" w:color="000000"/>
            </w:tcBorders>
          </w:tcPr>
          <w:p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>
        <w:trPr>
          <w:trHeight w:val="291" w:hRule="atLeast"/>
        </w:trPr>
        <w:tc>
          <w:tcPr>
            <w:tcW w:w="1168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1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215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ind w:left="108"/>
              <w:rPr>
                <w:sz w:val="18"/>
              </w:rPr>
            </w:pPr>
            <w:r>
              <w:rPr>
                <w:sz w:val="18"/>
              </w:rPr>
              <w:t>KOŠNJA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TRAVE</w:t>
            </w:r>
          </w:p>
        </w:tc>
        <w:tc>
          <w:tcPr>
            <w:tcW w:w="2237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44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4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24.900,00</w:t>
            </w:r>
          </w:p>
        </w:tc>
      </w:tr>
      <w:tr>
        <w:trPr>
          <w:trHeight w:val="33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24.900,00</w:t>
            </w:r>
          </w:p>
        </w:tc>
      </w:tr>
      <w:tr>
        <w:trPr>
          <w:trHeight w:val="55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A101103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površina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</w:tr>
      <w:tr>
        <w:trPr>
          <w:trHeight w:val="34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3.500,00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221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3.500,00</w:t>
            </w:r>
          </w:p>
        </w:tc>
      </w:tr>
      <w:tr>
        <w:trPr>
          <w:trHeight w:val="561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A101104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Održavanje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uređenje</w:t>
            </w:r>
            <w:r>
              <w:rPr>
                <w:b/>
                <w:spacing w:val="-2"/>
                <w:sz w:val="18"/>
              </w:rPr>
              <w:t> groblja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5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12.400,00</w:t>
            </w:r>
          </w:p>
        </w:tc>
      </w:tr>
      <w:tr>
        <w:trPr>
          <w:trHeight w:val="338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35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341" w:hRule="atLeast"/>
        </w:trPr>
        <w:tc>
          <w:tcPr>
            <w:tcW w:w="10341" w:type="dxa"/>
            <w:gridSpan w:val="4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tabs>
                <w:tab w:pos="9521" w:val="left" w:leader="none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420</w:t>
            </w:r>
            <w:r>
              <w:rPr>
                <w:b/>
                <w:spacing w:val="57"/>
                <w:sz w:val="18"/>
              </w:rPr>
              <w:t> </w:t>
            </w:r>
            <w:r>
              <w:rPr>
                <w:b/>
                <w:sz w:val="18"/>
              </w:rPr>
              <w:t>Ostali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posebnim</w:t>
            </w:r>
            <w:r>
              <w:rPr>
                <w:b/>
                <w:spacing w:val="-2"/>
                <w:sz w:val="18"/>
              </w:rPr>
              <w:t> propisima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11.900,00</w:t>
            </w:r>
          </w:p>
        </w:tc>
      </w:tr>
      <w:tr>
        <w:trPr>
          <w:trHeight w:val="336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</w:t>
            </w:r>
          </w:p>
        </w:tc>
        <w:tc>
          <w:tcPr>
            <w:tcW w:w="72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173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621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08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11.900,00</w:t>
            </w:r>
          </w:p>
        </w:tc>
      </w:tr>
      <w:tr>
        <w:trPr>
          <w:trHeight w:val="559" w:hRule="atLeast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>
            <w:pPr>
              <w:pStyle w:val="TableParagraph"/>
              <w:spacing w:line="219" w:lineRule="exact" w:before="0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A101328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Zimsko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nerazvrstanih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cesta</w:t>
            </w:r>
          </w:p>
        </w:tc>
        <w:tc>
          <w:tcPr>
            <w:tcW w:w="223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6.135,00</w:t>
            </w:r>
          </w:p>
        </w:tc>
      </w:tr>
      <w:tr>
        <w:trPr>
          <w:trHeight w:val="343" w:hRule="atLeast"/>
        </w:trPr>
        <w:tc>
          <w:tcPr>
            <w:tcW w:w="1168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6936" w:type="dxa"/>
            <w:gridSpan w:val="2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237" w:type="dxa"/>
            <w:tcBorders>
              <w:top w:val="single" w:sz="2" w:space="0" w:color="000000"/>
            </w:tcBorders>
            <w:shd w:val="clear" w:color="auto" w:fill="CCFFCC"/>
          </w:tcPr>
          <w:p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3.000,00</w:t>
            </w:r>
          </w:p>
        </w:tc>
      </w:tr>
    </w:tbl>
    <w:p>
      <w:pPr>
        <w:pStyle w:val="TableParagraph"/>
        <w:spacing w:after="0"/>
        <w:jc w:val="right"/>
        <w:rPr>
          <w:b/>
          <w:sz w:val="18"/>
        </w:rPr>
        <w:sectPr>
          <w:footerReference w:type="default" r:id="rId6"/>
          <w:pgSz w:w="11910" w:h="16840"/>
          <w:pgMar w:header="0" w:footer="769" w:top="340" w:bottom="1077" w:left="720" w:right="360"/>
          <w:pgNumType w:start="1"/>
        </w:sectPr>
      </w:pP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873"/>
        <w:gridCol w:w="5695"/>
        <w:gridCol w:w="2812"/>
      </w:tblGrid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1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3.135,00</w:t>
            </w:r>
          </w:p>
        </w:tc>
      </w:tr>
      <w:tr>
        <w:trPr>
          <w:trHeight w:val="333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3.135,00</w:t>
            </w:r>
          </w:p>
        </w:tc>
      </w:tr>
      <w:tr>
        <w:trPr>
          <w:trHeight w:val="562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 w:right="-116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Zajedničk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A101354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102"/>
              <w:rPr>
                <w:b/>
                <w:sz w:val="18"/>
              </w:rPr>
            </w:pPr>
            <w:r>
              <w:rPr>
                <w:b/>
                <w:sz w:val="18"/>
              </w:rPr>
              <w:t>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služba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komunalno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prometno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poljoprivredno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redarstvo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7.800,00</w:t>
            </w:r>
          </w:p>
        </w:tc>
      </w:tr>
      <w:tr>
        <w:trPr>
          <w:trHeight w:val="340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7.800,00</w:t>
            </w:r>
          </w:p>
        </w:tc>
      </w:tr>
      <w:tr>
        <w:trPr>
          <w:trHeight w:val="334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36315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pomoći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gradskim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proračunima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7.800,00</w:t>
            </w:r>
          </w:p>
        </w:tc>
      </w:tr>
      <w:tr>
        <w:trPr>
          <w:trHeight w:val="562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467" w:right="-116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sz w:val="18"/>
              </w:rPr>
              <w:t> </w:t>
            </w:r>
            <w:r>
              <w:rPr>
                <w:b/>
                <w:sz w:val="18"/>
              </w:rPr>
              <w:t>Deratiza </w:t>
            </w:r>
            <w:r>
              <w:rPr>
                <w:b/>
                <w:spacing w:val="-2"/>
                <w:sz w:val="18"/>
              </w:rPr>
              <w:t>A101407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18"/>
              <w:rPr>
                <w:b/>
                <w:sz w:val="18"/>
              </w:rPr>
            </w:pPr>
            <w:r>
              <w:rPr>
                <w:b/>
                <w:sz w:val="18"/>
              </w:rPr>
              <w:t>cija,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dezinsekcija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dezinfekcija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750,00</w:t>
            </w:r>
          </w:p>
        </w:tc>
      </w:tr>
      <w:tr>
        <w:trPr>
          <w:trHeight w:val="340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 w:right="-7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Komunal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32343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Deratizacija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dezinsekcija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750,00</w:t>
            </w:r>
          </w:p>
        </w:tc>
      </w:tr>
      <w:tr>
        <w:trPr>
          <w:trHeight w:val="562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Uređen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A101448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43"/>
              <w:rPr>
                <w:b/>
                <w:sz w:val="18"/>
              </w:rPr>
            </w:pPr>
            <w:r>
              <w:rPr>
                <w:b/>
                <w:sz w:val="18"/>
              </w:rPr>
              <w:t>je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staza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među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grobnim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mjestima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groblju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20.000,00</w:t>
            </w:r>
          </w:p>
        </w:tc>
      </w:tr>
      <w:tr>
        <w:trPr>
          <w:trHeight w:val="338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 w:right="-7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Komunal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12.500,00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12.500,00</w:t>
            </w:r>
          </w:p>
        </w:tc>
      </w:tr>
      <w:tr>
        <w:trPr>
          <w:trHeight w:val="340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15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7.500,00</w:t>
            </w:r>
          </w:p>
        </w:tc>
      </w:tr>
      <w:tr>
        <w:trPr>
          <w:trHeight w:val="334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7.500,00</w:t>
            </w:r>
          </w:p>
        </w:tc>
      </w:tr>
      <w:tr>
        <w:trPr>
          <w:trHeight w:val="561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 w:right="-1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Oprema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A101477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43"/>
              <w:rPr>
                <w:b/>
                <w:sz w:val="18"/>
              </w:rPr>
            </w:pP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površina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341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 w:right="-7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Komunal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1.200,00</w:t>
            </w:r>
          </w:p>
        </w:tc>
      </w:tr>
      <w:tr>
        <w:trPr>
          <w:trHeight w:val="592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491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32234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Motorni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benzin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dizel</w:t>
            </w:r>
            <w:r>
              <w:rPr>
                <w:spacing w:val="-2"/>
                <w:sz w:val="18"/>
              </w:rPr>
              <w:t> gorivo</w:t>
            </w:r>
          </w:p>
          <w:p>
            <w:pPr>
              <w:pStyle w:val="TableParagraph"/>
              <w:spacing w:before="76"/>
              <w:ind w:left="169"/>
              <w:rPr>
                <w:sz w:val="18"/>
              </w:rPr>
            </w:pPr>
            <w:r>
              <w:rPr>
                <w:sz w:val="18"/>
              </w:rPr>
              <w:t>GORIVO ZA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KOSILICU I </w:t>
            </w:r>
            <w:r>
              <w:rPr>
                <w:spacing w:val="-2"/>
                <w:sz w:val="18"/>
              </w:rPr>
              <w:t>PUHALICU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42239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oprema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održavanje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zaštitu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562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 w:right="-116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5"/>
                <w:w w:val="1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Održavan</w:t>
            </w:r>
          </w:p>
          <w:p>
            <w:pPr>
              <w:pStyle w:val="TableParagraph"/>
              <w:spacing w:line="219" w:lineRule="exact" w:before="0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A101520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krčenje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poljskih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šumskih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puteva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</w:tr>
      <w:tr>
        <w:trPr>
          <w:trHeight w:val="338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 w:right="-7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412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Komunal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na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4.500,00</w:t>
            </w:r>
          </w:p>
        </w:tc>
      </w:tr>
      <w:tr>
        <w:trPr>
          <w:trHeight w:val="33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4.500,00</w:t>
            </w:r>
          </w:p>
        </w:tc>
      </w:tr>
      <w:tr>
        <w:trPr>
          <w:trHeight w:val="340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 w:right="-29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420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Ostali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pr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ihodi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posebnim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propisima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>
        <w:trPr>
          <w:trHeight w:val="333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>
        <w:trPr>
          <w:trHeight w:val="588" w:hRule="atLeast"/>
        </w:trPr>
        <w:tc>
          <w:tcPr>
            <w:tcW w:w="7529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0"/>
                <w:w w:val="150"/>
                <w:sz w:val="18"/>
              </w:rPr>
              <w:t> </w:t>
            </w:r>
            <w:r>
              <w:rPr>
                <w:b/>
                <w:sz w:val="18"/>
              </w:rPr>
              <w:t>Inovativni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prikaz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temperature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kolnika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sigurniji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pristup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određenoj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cestovnoj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dionic</w:t>
            </w:r>
          </w:p>
          <w:p>
            <w:pPr>
              <w:pStyle w:val="TableParagraph"/>
              <w:spacing w:line="219" w:lineRule="exact" w:before="0"/>
              <w:ind w:left="477"/>
              <w:rPr>
                <w:b/>
                <w:sz w:val="18"/>
              </w:rPr>
            </w:pPr>
            <w:r>
              <w:rPr>
                <w:b/>
                <w:sz w:val="18"/>
              </w:rPr>
              <w:t>K101483</w:t>
            </w:r>
            <w:r>
              <w:rPr>
                <w:b/>
                <w:spacing w:val="54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2"/>
                <w:sz w:val="18"/>
              </w:rPr>
              <w:t> Lanišće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2083" w:val="left" w:leader="none"/>
              </w:tabs>
              <w:spacing w:before="76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7.350,00</w:t>
            </w:r>
          </w:p>
        </w:tc>
      </w:tr>
      <w:tr>
        <w:trPr>
          <w:trHeight w:val="341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1.500,00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505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1.500,00</w:t>
            </w:r>
          </w:p>
        </w:tc>
      </w:tr>
      <w:tr>
        <w:trPr>
          <w:trHeight w:val="338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5.850,00</w:t>
            </w:r>
          </w:p>
        </w:tc>
      </w:tr>
      <w:tr>
        <w:trPr>
          <w:trHeight w:val="336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505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5.850,00</w:t>
            </w:r>
          </w:p>
        </w:tc>
      </w:tr>
      <w:tr>
        <w:trPr>
          <w:trHeight w:val="587" w:hRule="atLeast"/>
        </w:trPr>
        <w:tc>
          <w:tcPr>
            <w:tcW w:w="7529" w:type="dxa"/>
            <w:gridSpan w:val="3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477" w:hanging="32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> </w:t>
            </w:r>
            <w:r>
              <w:rPr>
                <w:b/>
                <w:sz w:val="18"/>
              </w:rPr>
              <w:t>Informativni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panel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ekranom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dodir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kao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vanjsko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centralno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mjesto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informiranja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st K101484</w:t>
            </w:r>
            <w:r>
              <w:rPr>
                <w:b/>
                <w:spacing w:val="40"/>
                <w:sz w:val="18"/>
              </w:rPr>
              <w:t> </w:t>
            </w:r>
            <w:r>
              <w:rPr>
                <w:b/>
                <w:sz w:val="18"/>
              </w:rPr>
              <w:t>Općine Lanišće i šire javnosti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tabs>
                <w:tab w:pos="1992" w:val="left" w:leader="none"/>
              </w:tabs>
              <w:spacing w:before="76"/>
              <w:ind w:left="-43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anovnika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16.980,00</w:t>
            </w:r>
          </w:p>
        </w:tc>
      </w:tr>
      <w:tr>
        <w:trPr>
          <w:trHeight w:val="339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3.400,00</w:t>
            </w:r>
          </w:p>
        </w:tc>
      </w:tr>
      <w:tr>
        <w:trPr>
          <w:trHeight w:val="33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15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3.400,00</w:t>
            </w:r>
          </w:p>
        </w:tc>
      </w:tr>
      <w:tr>
        <w:trPr>
          <w:trHeight w:val="341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13.580,00</w:t>
            </w:r>
          </w:p>
        </w:tc>
      </w:tr>
      <w:tr>
        <w:trPr>
          <w:trHeight w:val="333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42271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Uređaji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13.580,00</w:t>
            </w:r>
          </w:p>
        </w:tc>
      </w:tr>
      <w:tr>
        <w:trPr>
          <w:trHeight w:val="562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line="219" w:lineRule="exact" w:before="76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Uređen</w:t>
            </w:r>
          </w:p>
          <w:p>
            <w:pPr>
              <w:pStyle w:val="TableParagraph"/>
              <w:spacing w:line="219" w:lineRule="exact" w:before="0"/>
              <w:ind w:left="4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K101489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43"/>
              <w:rPr>
                <w:b/>
                <w:sz w:val="18"/>
              </w:rPr>
            </w:pPr>
            <w:r>
              <w:rPr>
                <w:b/>
                <w:sz w:val="18"/>
              </w:rPr>
              <w:t>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opremanje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dječjih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igrališta</w:t>
            </w:r>
            <w:r>
              <w:rPr>
                <w:b/>
                <w:spacing w:val="-2"/>
                <w:sz w:val="18"/>
              </w:rPr>
              <w:t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4"/>
                <w:sz w:val="18"/>
              </w:rPr>
              <w:t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2"/>
                <w:sz w:val="18"/>
              </w:rPr>
              <w:t> Lanišće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>
            <w:pPr>
              <w:pStyle w:val="TableParagraph"/>
              <w:spacing w:before="76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27.600,00</w:t>
            </w:r>
          </w:p>
        </w:tc>
      </w:tr>
      <w:tr>
        <w:trPr>
          <w:trHeight w:val="340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1"/>
                <w:sz w:val="18"/>
              </w:rPr>
              <w:t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> primici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</w:tr>
      <w:tr>
        <w:trPr>
          <w:trHeight w:val="335" w:hRule="atLeast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ind w:left="-8"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1.600,00</w:t>
            </w:r>
          </w:p>
        </w:tc>
      </w:tr>
      <w:tr>
        <w:trPr>
          <w:trHeight w:val="338" w:hRule="atLeast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69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>
            <w:pPr>
              <w:pStyle w:val="TableParagraph"/>
              <w:ind w:left="-8"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26.000,00</w:t>
            </w:r>
          </w:p>
        </w:tc>
      </w:tr>
      <w:tr>
        <w:trPr>
          <w:trHeight w:val="232" w:hRule="atLeast"/>
        </w:trPr>
        <w:tc>
          <w:tcPr>
            <w:tcW w:w="961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517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87" w:right="1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5695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2812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196" w:lineRule="exact"/>
              <w:ind w:left="-8"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26.000,00</w:t>
            </w:r>
          </w:p>
        </w:tc>
      </w:tr>
    </w:tbl>
    <w:p>
      <w:pPr>
        <w:pStyle w:val="TableParagraph"/>
        <w:spacing w:after="0" w:line="196" w:lineRule="exact"/>
        <w:jc w:val="right"/>
        <w:rPr>
          <w:sz w:val="18"/>
        </w:rPr>
        <w:sectPr>
          <w:type w:val="continuous"/>
          <w:pgSz w:w="11910" w:h="16840"/>
          <w:pgMar w:header="0" w:footer="769" w:top="440" w:bottom="960" w:left="720" w:right="360"/>
        </w:sectPr>
      </w:pPr>
    </w:p>
    <w:p>
      <w:pPr>
        <w:pStyle w:val="BodyText"/>
        <w:ind w:left="129"/>
        <w:rPr>
          <w:rFonts w:ascii="Segoe UI"/>
          <w:sz w:val="20"/>
        </w:rPr>
      </w:pPr>
      <w:r>
        <w:rPr>
          <w:rFonts w:ascii="Segoe UI"/>
          <w:sz w:val="20"/>
        </w:rPr>
        <mc:AlternateContent>
          <mc:Choice Requires="wps">
            <w:drawing>
              <wp:inline distT="0" distB="0" distL="0" distR="0">
                <wp:extent cx="6566534" cy="598805"/>
                <wp:effectExtent l="0" t="0" r="0" b="127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566534" cy="598805"/>
                          <a:chExt cx="6566534" cy="59880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"/>
                            <a:ext cx="6566534" cy="37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377825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7647"/>
                                </a:lnTo>
                                <a:lnTo>
                                  <a:pt x="6566027" y="377647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9" y="0"/>
                            <a:ext cx="6558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127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0"/>
                                </a:lnTo>
                                <a:lnTo>
                                  <a:pt x="6558407" y="1220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376682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09" y="376682"/>
                            <a:ext cx="655891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2250">
                                <a:moveTo>
                                  <a:pt x="6558407" y="219684"/>
                                </a:moveTo>
                                <a:lnTo>
                                  <a:pt x="0" y="219684"/>
                                </a:lnTo>
                                <a:lnTo>
                                  <a:pt x="0" y="221818"/>
                                </a:lnTo>
                                <a:lnTo>
                                  <a:pt x="6558407" y="221818"/>
                                </a:lnTo>
                                <a:lnTo>
                                  <a:pt x="6558407" y="219684"/>
                                </a:lnTo>
                                <a:close/>
                              </a:path>
                              <a:path w="6558915" h="22225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"/>
                                </a:lnTo>
                                <a:lnTo>
                                  <a:pt x="6558407" y="1219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6103848" y="412366"/>
                            <a:ext cx="42100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4.110,00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49250" y="412366"/>
                            <a:ext cx="1516380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412</w:t>
                              </w:r>
                              <w:r>
                                <w:rPr>
                                  <w:rFonts w:ascii="Calibri"/>
                                  <w:b/>
                                  <w:spacing w:val="5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Komunalna</w:t>
                              </w:r>
                              <w:r>
                                <w:rPr>
                                  <w:rFonts w:ascii="Calibri"/>
                                  <w:b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naknada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6046190" y="73784"/>
                            <a:ext cx="47942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0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20.550,00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98539" y="73784"/>
                            <a:ext cx="4827270" cy="25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3" w:lineRule="exact" w:before="0"/>
                                <w:ind w:left="0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Akt/projekt: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70"/>
                                  <w:w w:val="15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Smanjenje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utjecaja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na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okoliš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praćenjem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analizom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izmjere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podataka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klimatskih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uvjeta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10"/>
                                  <w:sz w:val="18"/>
                                </w:rPr>
                                <w:t>i</w:t>
                              </w:r>
                            </w:p>
                            <w:p>
                              <w:pPr>
                                <w:spacing w:line="216" w:lineRule="exact" w:before="0"/>
                                <w:ind w:left="322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K101490</w:t>
                              </w:r>
                              <w:r>
                                <w:rPr>
                                  <w:rFonts w:ascii="Calibri"/>
                                  <w:b/>
                                  <w:spacing w:val="5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z w:val="18"/>
                                </w:rPr>
                                <w:t>kvalitete</w:t>
                              </w:r>
                              <w:r>
                                <w:rPr>
                                  <w:rFonts w:ascii="Calibri"/>
                                  <w:b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zraka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47.15pt;mso-position-horizontal-relative:char;mso-position-vertical-relative:line" id="docshapegroup11" coordorigin="0,0" coordsize="10341,943">
                <v:rect style="position:absolute;left:0;top:0;width:10341;height:595" id="docshape12" filled="true" fillcolor="#f1f1f1" stroked="false">
                  <v:fill type="solid"/>
                </v:rect>
                <v:rect style="position:absolute;left:0;top:0;width:10329;height:2" id="docshape13" filled="true" fillcolor="#000000" stroked="false">
                  <v:fill type="solid"/>
                </v:rect>
                <v:rect style="position:absolute;left:0;top:593;width:10341;height:348" id="docshape14" filled="true" fillcolor="#ccffcc" stroked="false">
                  <v:fill type="solid"/>
                </v:rect>
                <v:shape style="position:absolute;left:0;top:593;width:10329;height:350" id="docshape15" coordorigin="1,593" coordsize="10329,350" path="m10329,939l1,939,1,943,10329,943,10329,939xm10329,593l1,593,1,595,10329,595,10329,593xe" filled="true" fillcolor="#000000" stroked="false">
                  <v:path arrowok="t"/>
                  <v:fill type="solid"/>
                </v:shape>
                <v:shape style="position:absolute;left:9612;top:649;width:663;height:181" type="#_x0000_t202" id="docshape16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4.110,00</w:t>
                        </w:r>
                      </w:p>
                    </w:txbxContent>
                  </v:textbox>
                  <w10:wrap type="none"/>
                </v:shape>
                <v:shape style="position:absolute;left:392;top:649;width:2388;height:181" type="#_x0000_t202" id="docshape17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412</w:t>
                        </w:r>
                        <w:r>
                          <w:rPr>
                            <w:rFonts w:ascii="Calibri"/>
                            <w:b/>
                            <w:spacing w:val="56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Komunalna</w:t>
                        </w:r>
                        <w:r>
                          <w:rPr>
                            <w:rFonts w:ascii="Calibri"/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naknada</w:t>
                        </w:r>
                      </w:p>
                    </w:txbxContent>
                  </v:textbox>
                  <w10:wrap type="none"/>
                </v:shape>
                <v:shape style="position:absolute;left:9521;top:116;width:755;height:181" type="#_x0000_t202" id="docshape18" filled="false" stroked="false">
                  <v:textbox inset="0,0,0,0">
                    <w:txbxContent>
                      <w:p>
                        <w:pPr>
                          <w:spacing w:line="180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20.550,00</w:t>
                        </w:r>
                      </w:p>
                    </w:txbxContent>
                  </v:textbox>
                  <w10:wrap type="none"/>
                </v:shape>
                <v:shape style="position:absolute;left:155;top:116;width:7602;height:399" type="#_x0000_t202" id="docshape19" filled="false" stroked="false">
                  <v:textbox inset="0,0,0,0">
                    <w:txbxContent>
                      <w:p>
                        <w:pPr>
                          <w:spacing w:line="183" w:lineRule="exact" w:before="0"/>
                          <w:ind w:left="0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Akt/projekt:</w:t>
                        </w:r>
                        <w:r>
                          <w:rPr>
                            <w:rFonts w:ascii="Calibri" w:hAnsi="Calibri"/>
                            <w:b/>
                            <w:spacing w:val="70"/>
                            <w:w w:val="15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Smanjenje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utjecaja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na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okoliš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praćenjem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analizom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izmjere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podataka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klimatskih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uvjeta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10"/>
                            <w:sz w:val="18"/>
                          </w:rPr>
                          <w:t>i</w:t>
                        </w:r>
                      </w:p>
                      <w:p>
                        <w:pPr>
                          <w:spacing w:line="216" w:lineRule="exact" w:before="0"/>
                          <w:ind w:left="322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K101490</w:t>
                        </w:r>
                        <w:r>
                          <w:rPr>
                            <w:rFonts w:ascii="Calibri"/>
                            <w:b/>
                            <w:spacing w:val="54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z w:val="18"/>
                          </w:rPr>
                          <w:t>kvalitete</w:t>
                        </w:r>
                        <w:r>
                          <w:rPr>
                            <w:rFonts w:ascii="Calibri"/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zraka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Segoe UI"/>
          <w:sz w:val="20"/>
        </w:rPr>
      </w:r>
    </w:p>
    <w:p>
      <w:pPr>
        <w:pStyle w:val="BodyText"/>
        <w:spacing w:after="0"/>
        <w:rPr>
          <w:rFonts w:ascii="Segoe UI"/>
          <w:sz w:val="20"/>
        </w:rPr>
        <w:sectPr>
          <w:pgSz w:w="11910" w:h="16840"/>
          <w:pgMar w:header="0" w:footer="769" w:top="460" w:bottom="960" w:left="720" w:right="360"/>
        </w:sectPr>
      </w:pPr>
    </w:p>
    <w:p>
      <w:pPr>
        <w:spacing w:line="207" w:lineRule="exact" w:before="0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518</w:t>
      </w:r>
    </w:p>
    <w:p>
      <w:pPr>
        <w:spacing w:line="207" w:lineRule="exact" w:before="0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42271</w:t>
      </w:r>
    </w:p>
    <w:p>
      <w:pPr>
        <w:spacing w:line="207" w:lineRule="exact" w:before="0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pacing w:val="-2"/>
          <w:sz w:val="18"/>
        </w:rPr>
        <w:t>Uređaji</w:t>
      </w:r>
    </w:p>
    <w:p>
      <w:pPr>
        <w:spacing w:line="207" w:lineRule="exact" w:before="0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4.110,00</w:t>
      </w:r>
    </w:p>
    <w:p>
      <w:pPr>
        <w:spacing w:after="0" w:line="207" w:lineRule="exact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1140" w:bottom="280" w:left="720" w:right="360"/>
          <w:cols w:num="4" w:equalWidth="0">
            <w:col w:w="840" w:space="40"/>
            <w:col w:w="920" w:space="39"/>
            <w:col w:w="866" w:space="6478"/>
            <w:col w:w="1647"/>
          </w:cols>
        </w:sectPr>
      </w:pPr>
    </w:p>
    <w:p>
      <w:pPr>
        <w:pStyle w:val="BodyText"/>
        <w:spacing w:before="1"/>
        <w:rPr>
          <w:rFonts w:ascii="Calibri"/>
          <w:sz w:val="8"/>
        </w:rPr>
      </w:pPr>
    </w:p>
    <w:p>
      <w:pPr>
        <w:pStyle w:val="BodyText"/>
        <w:ind w:left="129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6534" cy="222250"/>
                <wp:effectExtent l="0" t="0" r="0" b="635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566534" cy="222250"/>
                          <a:chExt cx="6566534" cy="2222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566534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6534" h="220979">
                                <a:moveTo>
                                  <a:pt x="65660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0548"/>
                                </a:lnTo>
                                <a:lnTo>
                                  <a:pt x="6566027" y="220548"/>
                                </a:lnTo>
                                <a:lnTo>
                                  <a:pt x="65660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9" y="75"/>
                            <a:ext cx="6558915" cy="22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22250">
                                <a:moveTo>
                                  <a:pt x="6558407" y="219608"/>
                                </a:moveTo>
                                <a:lnTo>
                                  <a:pt x="0" y="219608"/>
                                </a:lnTo>
                                <a:lnTo>
                                  <a:pt x="0" y="221742"/>
                                </a:lnTo>
                                <a:lnTo>
                                  <a:pt x="6558407" y="221742"/>
                                </a:lnTo>
                                <a:lnTo>
                                  <a:pt x="6558407" y="219608"/>
                                </a:lnTo>
                                <a:close/>
                              </a:path>
                              <a:path w="6558915" h="222250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6558407" y="1524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1600"/>
                            <a:ext cx="6566534" cy="218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521" w:val="left" w:leader="none"/>
                                </w:tabs>
                                <w:spacing w:before="17"/>
                                <w:ind w:left="392" w:right="0" w:firstLine="0"/>
                                <w:jc w:val="left"/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Izvor: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>520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6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Pomoći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18"/>
                                </w:rPr>
                                <w:tab/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18"/>
                                </w:rPr>
                                <w:t>16.440,00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.0500pt;height:17.5pt;mso-position-horizontal-relative:char;mso-position-vertical-relative:line" id="docshapegroup20" coordorigin="0,0" coordsize="10341,350">
                <v:rect style="position:absolute;left:0;top:0;width:10341;height:348" id="docshape21" filled="true" fillcolor="#ccffcc" stroked="false">
                  <v:fill type="solid"/>
                </v:rect>
                <v:shape style="position:absolute;left:0;top:0;width:10329;height:350" id="docshape22" coordorigin="1,0" coordsize="10329,350" path="m10329,346l1,346,1,349,10329,349,10329,346xm10329,0l1,0,1,3,10329,3,10329,0xe" filled="true" fillcolor="#000000" stroked="false">
                  <v:path arrowok="t"/>
                  <v:fill type="solid"/>
                </v:shape>
                <v:shape style="position:absolute;left:0;top:2;width:10341;height:344" type="#_x0000_t202" id="docshape23" filled="false" stroked="false">
                  <v:textbox inset="0,0,0,0">
                    <w:txbxContent>
                      <w:p>
                        <w:pPr>
                          <w:tabs>
                            <w:tab w:pos="9521" w:val="left" w:leader="none"/>
                          </w:tabs>
                          <w:spacing w:before="17"/>
                          <w:ind w:left="392" w:right="0" w:firstLine="0"/>
                          <w:jc w:val="left"/>
                          <w:rPr>
                            <w:rFonts w:ascii="Calibri" w:hAns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Izvor: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>520</w:t>
                        </w:r>
                        <w:r>
                          <w:rPr>
                            <w:rFonts w:ascii="Calibri" w:hAnsi="Calibri"/>
                            <w:b/>
                            <w:spacing w:val="60"/>
                            <w:sz w:val="18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Pomoći</w:t>
                        </w:r>
                        <w:r>
                          <w:rPr>
                            <w:rFonts w:ascii="Calibri" w:hAnsi="Calibri"/>
                            <w:b/>
                            <w:sz w:val="18"/>
                          </w:rPr>
                          <w:tab/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18"/>
                          </w:rPr>
                          <w:t>16.440,00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p>
      <w:pPr>
        <w:pStyle w:val="BodyText"/>
        <w:spacing w:after="0"/>
        <w:rPr>
          <w:rFonts w:ascii="Calibri"/>
          <w:sz w:val="20"/>
        </w:rPr>
        <w:sectPr>
          <w:type w:val="continuous"/>
          <w:pgSz w:w="11910" w:h="16840"/>
          <w:pgMar w:header="0" w:footer="769" w:top="1140" w:bottom="280" w:left="720" w:right="360"/>
        </w:sectPr>
      </w:pPr>
    </w:p>
    <w:p>
      <w:pPr>
        <w:spacing w:line="200" w:lineRule="exact" w:before="0"/>
        <w:ind w:left="0" w:right="0" w:firstLine="0"/>
        <w:jc w:val="right"/>
        <w:rPr>
          <w:rFonts w:ascii="Calibri"/>
          <w:b/>
          <w:sz w:val="18"/>
        </w:rPr>
      </w:pPr>
      <w:r>
        <w:rPr>
          <w:rFonts w:ascii="Calibri"/>
          <w:b/>
          <w:spacing w:val="-5"/>
          <w:sz w:val="18"/>
        </w:rPr>
        <w:t>518</w:t>
      </w:r>
    </w:p>
    <w:p>
      <w:pPr>
        <w:spacing w:line="200" w:lineRule="exact" w:before="0"/>
        <w:ind w:left="462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42271</w:t>
      </w:r>
    </w:p>
    <w:p>
      <w:pPr>
        <w:spacing w:line="200" w:lineRule="exact" w:before="0"/>
        <w:ind w:left="287" w:right="0" w:firstLine="0"/>
        <w:jc w:val="left"/>
        <w:rPr>
          <w:rFonts w:ascii="Calibri" w:hAnsi="Calibri"/>
          <w:sz w:val="18"/>
        </w:rPr>
      </w:pPr>
      <w:r>
        <w:rPr/>
        <w:br w:type="column"/>
      </w:r>
      <w:r>
        <w:rPr>
          <w:rFonts w:ascii="Calibri" w:hAnsi="Calibri"/>
          <w:spacing w:val="-2"/>
          <w:sz w:val="18"/>
        </w:rPr>
        <w:t>Uređaji</w:t>
      </w:r>
    </w:p>
    <w:p>
      <w:pPr>
        <w:spacing w:line="200" w:lineRule="exact" w:before="0"/>
        <w:ind w:left="565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spacing w:val="-2"/>
          <w:sz w:val="18"/>
        </w:rPr>
        <w:t>16.440,00</w:t>
      </w:r>
    </w:p>
    <w:p>
      <w:pPr>
        <w:spacing w:after="0" w:line="200" w:lineRule="exact"/>
        <w:jc w:val="left"/>
        <w:rPr>
          <w:rFonts w:ascii="Calibri"/>
          <w:sz w:val="18"/>
        </w:rPr>
        <w:sectPr>
          <w:type w:val="continuous"/>
          <w:pgSz w:w="11910" w:h="16840"/>
          <w:pgMar w:header="0" w:footer="769" w:top="1140" w:bottom="280" w:left="720" w:right="360"/>
          <w:cols w:num="4" w:equalWidth="0">
            <w:col w:w="840" w:space="40"/>
            <w:col w:w="920" w:space="39"/>
            <w:col w:w="866" w:space="6387"/>
            <w:col w:w="1738"/>
          </w:cols>
        </w:sectPr>
      </w:pPr>
    </w:p>
    <w:p>
      <w:pPr>
        <w:pStyle w:val="BodyText"/>
        <w:spacing w:before="3" w:after="1"/>
        <w:rPr>
          <w:rFonts w:ascii="Calibri"/>
          <w:sz w:val="8"/>
        </w:rPr>
      </w:pPr>
    </w:p>
    <w:p>
      <w:pPr>
        <w:pStyle w:val="BodyText"/>
        <w:ind w:left="13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6565265" cy="288925"/>
                <wp:effectExtent l="0" t="0" r="0" b="635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565265" cy="288925"/>
                          <a:chExt cx="6565265" cy="2889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6558915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8915" h="288925">
                                <a:moveTo>
                                  <a:pt x="65584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5441442" y="1524"/>
                                </a:lnTo>
                                <a:lnTo>
                                  <a:pt x="5441442" y="288671"/>
                                </a:lnTo>
                                <a:lnTo>
                                  <a:pt x="5443271" y="288671"/>
                                </a:lnTo>
                                <a:lnTo>
                                  <a:pt x="5443271" y="1524"/>
                                </a:lnTo>
                                <a:lnTo>
                                  <a:pt x="6558407" y="1524"/>
                                </a:lnTo>
                                <a:lnTo>
                                  <a:pt x="65584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4624196" y="34236"/>
                            <a:ext cx="615950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6027546" y="35379"/>
                            <a:ext cx="537845" cy="114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8"/>
                                </w:rPr>
                                <w:t>170.865,00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6.9500pt;height:22.75pt;mso-position-horizontal-relative:char;mso-position-vertical-relative:line" id="docshapegroup24" coordorigin="0,0" coordsize="10339,455">
                <v:shape style="position:absolute;left:0;top:0;width:10329;height:455" id="docshape25" coordorigin="0,0" coordsize="10329,455" path="m10328,0l0,0,0,2,8569,2,8569,455,8572,455,8572,2,10328,2,10328,0xe" filled="true" fillcolor="#000000" stroked="false">
                  <v:path arrowok="t"/>
                  <v:fill type="solid"/>
                </v:shape>
                <v:shape style="position:absolute;left:7282;top:53;width:970;height:181" type="#_x0000_t202" id="docshape2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SVEUKUPNO</w:t>
                        </w:r>
                      </w:p>
                    </w:txbxContent>
                  </v:textbox>
                  <w10:wrap type="none"/>
                </v:shape>
                <v:shape style="position:absolute;left:9492;top:55;width:847;height:181" type="#_x0000_t202" id="docshape2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  <w:sz w:val="18"/>
                          </w:rPr>
                          <w:t>170.865,00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alibri"/>
          <w:sz w:val="20"/>
        </w:rPr>
      </w:r>
    </w:p>
    <w:sectPr>
      <w:type w:val="continuous"/>
      <w:pgSz w:w="11910" w:h="16840"/>
      <w:pgMar w:header="0" w:footer="769" w:top="114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Wingdings">
    <w:altName w:val="Wingdings"/>
    <w:charset w:val="2"/>
    <w:family w:val="decorative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2672">
              <wp:simplePos x="0" y="0"/>
              <wp:positionH relativeFrom="page">
                <wp:posOffset>6113017</wp:posOffset>
              </wp:positionH>
              <wp:positionV relativeFrom="page">
                <wp:posOffset>10151453</wp:posOffset>
              </wp:positionV>
              <wp:extent cx="897255" cy="293370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897255" cy="293370"/>
                        <a:chExt cx="897255" cy="293370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32003" y="62236"/>
                          <a:ext cx="864920" cy="11774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0" y="0"/>
                          <a:ext cx="1905" cy="293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93370">
                              <a:moveTo>
                                <a:pt x="1525" y="0"/>
                              </a:moveTo>
                              <a:lnTo>
                                <a:pt x="0" y="0"/>
                              </a:lnTo>
                              <a:lnTo>
                                <a:pt x="0" y="292849"/>
                              </a:lnTo>
                              <a:lnTo>
                                <a:pt x="1525" y="292849"/>
                              </a:lnTo>
                              <a:lnTo>
                                <a:pt x="1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81.339996pt;margin-top:799.327026pt;width:70.650pt;height:23.1pt;mso-position-horizontal-relative:page;mso-position-vertical-relative:page;z-index:-16183808" id="docshapegroup1" coordorigin="9627,15987" coordsize="1413,462">
              <v:shape style="position:absolute;left:9677;top:16084;width:1363;height:186" type="#_x0000_t75" id="docshape2" stroked="false">
                <v:imagedata r:id="rId1" o:title=""/>
              </v:shape>
              <v:rect style="position:absolute;left:9626;top:15986;width:3;height:462" id="docshape3" filled="true" fillcolor="#000000" stroked="false">
                <v:fill type="solid"/>
              </v:rect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3184">
              <wp:simplePos x="0" y="0"/>
              <wp:positionH relativeFrom="page">
                <wp:posOffset>540004</wp:posOffset>
              </wp:positionH>
              <wp:positionV relativeFrom="page">
                <wp:posOffset>10075201</wp:posOffset>
              </wp:positionV>
              <wp:extent cx="1472565" cy="1270"/>
              <wp:effectExtent l="0" t="0" r="0" b="0"/>
              <wp:wrapNone/>
              <wp:docPr id="5" name="Graphic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Graphic 5"/>
                    <wps:cNvSpPr/>
                    <wps:spPr>
                      <a:xfrm>
                        <a:off x="0" y="0"/>
                        <a:ext cx="14725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1270">
                            <a:moveTo>
                              <a:pt x="1472311" y="0"/>
                            </a:moveTo>
                            <a:lnTo>
                              <a:pt x="0" y="0"/>
                            </a:lnTo>
                            <a:lnTo>
                              <a:pt x="0" y="1220"/>
                            </a:lnTo>
                            <a:lnTo>
                              <a:pt x="1472311" y="1220"/>
                            </a:lnTo>
                            <a:lnTo>
                              <a:pt x="147231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42.52pt;margin-top:793.322937pt;width:115.93pt;height:.1pt;mso-position-horizontal-relative:page;mso-position-vertical-relative:page;z-index:-16183296" id="docshape4" filled="true" fillcolor="#000000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3696">
              <wp:simplePos x="0" y="0"/>
              <wp:positionH relativeFrom="page">
                <wp:posOffset>540118</wp:posOffset>
              </wp:positionH>
              <wp:positionV relativeFrom="page">
                <wp:posOffset>10110581</wp:posOffset>
              </wp:positionV>
              <wp:extent cx="1068070" cy="31305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06807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Stranica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7"/>
                            <w:ind w:left="20" w:right="0" w:firstLine="0"/>
                            <w:jc w:val="lef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> 14:07:31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2.528999pt;margin-top:796.108765pt;width:84.1pt;height:24.65pt;mso-position-horizontal-relative:page;mso-position-vertical-relative:page;z-index:-16182784" type="#_x0000_t202" id="docshape5" filled="false" stroked="false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Stranica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>
                    <w:pPr>
                      <w:spacing w:before="27"/>
                      <w:ind w:left="20" w:right="0" w:firstLine="0"/>
                      <w:jc w:val="lef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3"/>
                        <w:sz w:val="16"/>
                      </w:rPr>
                      <w:t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> 14:07:31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4208">
              <wp:simplePos x="0" y="0"/>
              <wp:positionH relativeFrom="page">
                <wp:posOffset>5517515</wp:posOffset>
              </wp:positionH>
              <wp:positionV relativeFrom="page">
                <wp:posOffset>10149925</wp:posOffset>
              </wp:positionV>
              <wp:extent cx="587375" cy="29718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0" w:right="18" w:firstLine="0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>
                          <w:pPr>
                            <w:spacing w:before="1"/>
                            <w:ind w:left="0" w:right="20" w:firstLine="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34.450012pt;margin-top:799.206726pt;width:46.25pt;height:23.4pt;mso-position-horizontal-relative:page;mso-position-vertical-relative:page;z-index:-16182272" type="#_x0000_t202" id="docshape6" filled="false" stroked="false">
              <v:textbox inset="0,0,0,0">
                <w:txbxContent>
                  <w:p>
                    <w:pPr>
                      <w:spacing w:before="20"/>
                      <w:ind w:left="0" w:right="18" w:firstLine="0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>
                    <w:pPr>
                      <w:spacing w:before="1"/>
                      <w:ind w:left="0" w:right="20" w:firstLine="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"/>
      <w:lvlJc w:val="left"/>
      <w:pPr>
        <w:ind w:left="806" w:hanging="33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2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1656" w:hanging="339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512" w:hanging="339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368" w:hanging="339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224" w:hanging="339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080" w:hanging="339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5936" w:hanging="339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6792" w:hanging="339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7648" w:hanging="339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257"/>
      <w:jc w:val="center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817" w:hanging="337"/>
    </w:pPr>
    <w:rPr>
      <w:rFonts w:ascii="Times New Roman" w:hAnsi="Times New Roman" w:eastAsia="Times New Roman" w:cs="Times New Roman"/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footer" Target="footer1.xml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NAPS2</dc:creator>
  <dc:subject>Skenirana slika</dc:subject>
  <dc:title>Skenirana slika</dc:title>
  <dcterms:created xsi:type="dcterms:W3CDTF">2025-12-22T11:07:16Z</dcterms:created>
  <dcterms:modified xsi:type="dcterms:W3CDTF">2025-12-22T11:07:16Z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NAPS2</vt:lpwstr>
  </property>
  <property fmtid="{D5CDD505-2E9C-101B-9397-08002B2CF9AE}" pid="4" name="LastSaved">
    <vt:filetime>2025-12-22T00:00:00Z</vt:filetime>
  </property>
  <property fmtid="{D5CDD505-2E9C-101B-9397-08002B2CF9AE}" pid="5" name="Producer">
    <vt:lpwstr>PDFium</vt:lpwstr>
  </property>
</Properties>
</file>