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8BCBF" w14:textId="77777777" w:rsidR="00A95316" w:rsidRPr="008F4EB0" w:rsidRDefault="00A95316" w:rsidP="00A95316">
      <w:pPr>
        <w:spacing w:before="73"/>
        <w:ind w:left="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4EB0">
        <w:rPr>
          <w:rFonts w:ascii="Times New Roman" w:hAnsi="Times New Roman" w:cs="Times New Roman"/>
          <w:b/>
          <w:sz w:val="24"/>
          <w:szCs w:val="24"/>
        </w:rPr>
        <w:t>O</w:t>
      </w:r>
      <w:r w:rsidRPr="008F4EB0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B R A</w:t>
      </w:r>
      <w:r w:rsidRPr="008F4EB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Z L</w:t>
      </w:r>
      <w:r w:rsidRPr="008F4E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O</w:t>
      </w:r>
      <w:r w:rsidRPr="008F4EB0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Ž E</w:t>
      </w:r>
      <w:r w:rsidRPr="008F4EB0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N</w:t>
      </w:r>
      <w:r w:rsidRPr="008F4EB0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J</w:t>
      </w:r>
      <w:r w:rsidRPr="008F4EB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pacing w:val="-10"/>
          <w:sz w:val="24"/>
          <w:szCs w:val="24"/>
        </w:rPr>
        <w:t>E</w:t>
      </w:r>
    </w:p>
    <w:p w14:paraId="174DE1ED" w14:textId="77777777" w:rsidR="00A95316" w:rsidRPr="008F4EB0" w:rsidRDefault="00A95316" w:rsidP="00A95316">
      <w:pPr>
        <w:spacing w:line="251" w:lineRule="exact"/>
        <w:ind w:left="5" w:right="855"/>
        <w:jc w:val="center"/>
        <w:rPr>
          <w:rFonts w:ascii="Times New Roman" w:hAnsi="Times New Roman" w:cs="Times New Roman"/>
          <w:b/>
          <w:spacing w:val="-3"/>
          <w:sz w:val="24"/>
          <w:szCs w:val="24"/>
        </w:rPr>
      </w:pPr>
      <w:r w:rsidRPr="008F4EB0">
        <w:rPr>
          <w:rFonts w:ascii="Times New Roman" w:hAnsi="Times New Roman" w:cs="Times New Roman"/>
          <w:b/>
          <w:sz w:val="24"/>
          <w:szCs w:val="24"/>
        </w:rPr>
        <w:t>uz</w:t>
      </w:r>
      <w:r w:rsidRPr="008F4EB0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Nacrt</w:t>
      </w:r>
      <w:r w:rsidRPr="008F4EB0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F4EB0">
        <w:rPr>
          <w:rFonts w:ascii="Times New Roman" w:hAnsi="Times New Roman" w:cs="Times New Roman"/>
          <w:b/>
          <w:sz w:val="24"/>
          <w:szCs w:val="24"/>
        </w:rPr>
        <w:t>prijedloga</w:t>
      </w:r>
      <w:r w:rsidRPr="008F4EB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Odluke o donošenju </w:t>
      </w:r>
    </w:p>
    <w:p w14:paraId="21E1025D" w14:textId="77777777" w:rsidR="00A95316" w:rsidRPr="008F4EB0" w:rsidRDefault="00A95316" w:rsidP="00A95316">
      <w:pPr>
        <w:spacing w:line="251" w:lineRule="exact"/>
        <w:ind w:left="5" w:right="855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F4EB0">
        <w:rPr>
          <w:rFonts w:ascii="Times New Roman" w:hAnsi="Times New Roman" w:cs="Times New Roman"/>
          <w:b/>
          <w:spacing w:val="-3"/>
          <w:sz w:val="24"/>
          <w:szCs w:val="24"/>
        </w:rPr>
        <w:t xml:space="preserve">Strategije upravljanja imovinom Općine </w:t>
      </w:r>
      <w:proofErr w:type="spellStart"/>
      <w:r w:rsidRPr="008F4EB0">
        <w:rPr>
          <w:rFonts w:ascii="Times New Roman" w:hAnsi="Times New Roman" w:cs="Times New Roman"/>
          <w:b/>
          <w:spacing w:val="-3"/>
          <w:sz w:val="24"/>
          <w:szCs w:val="24"/>
        </w:rPr>
        <w:t>Lanišće</w:t>
      </w:r>
      <w:proofErr w:type="spellEnd"/>
      <w:r w:rsidRPr="008F4EB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za razdoblje 2026.–2032. godine</w:t>
      </w:r>
    </w:p>
    <w:p w14:paraId="50246547" w14:textId="77777777" w:rsidR="00A95316" w:rsidRPr="008F4EB0" w:rsidRDefault="00A95316" w:rsidP="00A95316">
      <w:pPr>
        <w:widowControl/>
        <w:autoSpaceDE/>
        <w:autoSpaceDN/>
        <w:rPr>
          <w:rFonts w:ascii="Times New Roman" w:eastAsia="Calibri" w:hAnsi="Times New Roman" w:cs="Times New Roman"/>
          <w:sz w:val="24"/>
          <w:szCs w:val="24"/>
        </w:rPr>
      </w:pPr>
    </w:p>
    <w:p w14:paraId="1F4E372D" w14:textId="77777777" w:rsidR="00A95316" w:rsidRPr="008F4EB0" w:rsidRDefault="00A95316" w:rsidP="00A95316">
      <w:pPr>
        <w:widowControl/>
        <w:autoSpaceDE/>
        <w:autoSpaceDN/>
        <w:rPr>
          <w:rFonts w:ascii="Times New Roman" w:eastAsia="Calibri" w:hAnsi="Times New Roman" w:cs="Times New Roman"/>
          <w:sz w:val="24"/>
          <w:szCs w:val="24"/>
        </w:rPr>
      </w:pPr>
    </w:p>
    <w:p w14:paraId="16A77FC8" w14:textId="77777777" w:rsidR="00A95316" w:rsidRPr="008F4EB0" w:rsidRDefault="00A95316" w:rsidP="00A95316">
      <w:pPr>
        <w:widowControl/>
        <w:numPr>
          <w:ilvl w:val="0"/>
          <w:numId w:val="1"/>
        </w:numPr>
        <w:autoSpaceDE/>
        <w:autoSpaceDN/>
        <w:spacing w:after="160" w:line="259" w:lineRule="auto"/>
        <w:ind w:hanging="153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PRAVNI TEMELJ:</w:t>
      </w:r>
    </w:p>
    <w:p w14:paraId="32DDEB9B" w14:textId="77777777" w:rsidR="00A95316" w:rsidRPr="008F4EB0" w:rsidRDefault="00A95316" w:rsidP="00A95316">
      <w:pPr>
        <w:widowControl/>
        <w:autoSpaceDE/>
        <w:autoSpaceDN/>
        <w:ind w:left="851" w:right="85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Odluka o donošenju Strategije upravljanja imovinom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 razdoblje 2026.–2032.godine (dalje u tekstu: Odluka) donosi se na temelju:</w:t>
      </w:r>
    </w:p>
    <w:p w14:paraId="06A46BE2" w14:textId="77777777" w:rsidR="00A95316" w:rsidRPr="008F4EB0" w:rsidRDefault="00A95316" w:rsidP="00A95316">
      <w:pPr>
        <w:widowControl/>
        <w:numPr>
          <w:ilvl w:val="0"/>
          <w:numId w:val="4"/>
        </w:numPr>
        <w:autoSpaceDE/>
        <w:autoSpaceDN/>
        <w:spacing w:after="160" w:line="259" w:lineRule="auto"/>
        <w:ind w:left="1276"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članka 32. i članka 35. Zakona o lokalnoj i područnoj (regionalnoj) samoupravi („Narodne novine“, broj 33/01., 60/01., 129/05., 109/07., 125/08., 36/09., 36/09., 150/11., 144/12., 19/13., 137/15., 123/17., 98/19. i 144/20.), kojima je propisano da predstavničko tijelo odlučuje o stjecanju i raspolaganju imovinom te donosi strateške akte iz samoupravnog djelokruga;</w:t>
      </w:r>
    </w:p>
    <w:p w14:paraId="6CCB7705" w14:textId="77777777" w:rsidR="00A95316" w:rsidRPr="008F4EB0" w:rsidRDefault="00A95316" w:rsidP="00A95316">
      <w:pPr>
        <w:widowControl/>
        <w:numPr>
          <w:ilvl w:val="0"/>
          <w:numId w:val="4"/>
        </w:numPr>
        <w:autoSpaceDE/>
        <w:autoSpaceDN/>
        <w:spacing w:after="160" w:line="259" w:lineRule="auto"/>
        <w:ind w:left="1276"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članka 41. Statuta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(„Službene novine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“, broj 6/17. i „Službene novine Istarske županije“, broj 9/18., 7/21., 20/21. i 22/21.), kojim je utvrđena nadležnost Općinskog vijeća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 donošenje razvojnih i strateških dokumenata;</w:t>
      </w:r>
    </w:p>
    <w:p w14:paraId="54A1E451" w14:textId="77777777" w:rsidR="00A95316" w:rsidRPr="008F4EB0" w:rsidRDefault="00A95316" w:rsidP="00A95316">
      <w:pPr>
        <w:widowControl/>
        <w:numPr>
          <w:ilvl w:val="0"/>
          <w:numId w:val="4"/>
        </w:numPr>
        <w:autoSpaceDE/>
        <w:autoSpaceDN/>
        <w:spacing w:after="160" w:line="259" w:lineRule="auto"/>
        <w:ind w:left="1276"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odredbi posebnih propisa relevantnih za upravljanje imovinom, osobito Zakona o upravljanju državnom imovinom, Zakona o vlasništvu i drugim stvarnim pravima, Zakona o zemljišnim knjigama, Zakona o procjeni vrijednosti nekretnina, Zakona o komunalnom gospodarstvu, Zakona o proračunu i Zakona o poljoprivrednom zemljištu, koji definiraju pravila evidentiranja, korištenja, upravljanja i raspolaganja javnom imovinom te obvezu zakonitog i transparentnog postupanja.</w:t>
      </w:r>
    </w:p>
    <w:p w14:paraId="61C0C7AC" w14:textId="77777777" w:rsidR="00A95316" w:rsidRPr="008F4EB0" w:rsidRDefault="00A95316" w:rsidP="00A95316">
      <w:pPr>
        <w:widowControl/>
        <w:autoSpaceDE/>
        <w:autoSpaceDN/>
        <w:ind w:left="720" w:right="855" w:firstLine="720"/>
        <w:jc w:val="both"/>
        <w:rPr>
          <w:rFonts w:ascii="Times New Roman" w:eastAsiaTheme="minorHAnsi" w:hAnsi="Times New Roman" w:cs="Times New Roman"/>
          <w:kern w:val="2"/>
          <w:sz w:val="24"/>
          <w:szCs w:val="24"/>
          <w14:ligatures w14:val="standardContextual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Svi navedeni propisi čine zakonski okvir na kojem se Strategija upravljanja imovinom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 razdoblje 2026.–2032.godine (dalje u tekstu: Strategija) temelji, kako je navedeno i u samom tekstu Strategije</w:t>
      </w:r>
      <w:r w:rsidRPr="008F4EB0">
        <w:rPr>
          <w:rFonts w:ascii="Times New Roman" w:eastAsiaTheme="minorHAnsi" w:hAnsi="Times New Roman" w:cs="Times New Roman"/>
          <w:kern w:val="2"/>
          <w:sz w:val="24"/>
          <w:szCs w:val="24"/>
          <w14:ligatures w14:val="standardContextual"/>
        </w:rPr>
        <w:t>.</w:t>
      </w:r>
    </w:p>
    <w:p w14:paraId="3BB8FFEE" w14:textId="77777777" w:rsidR="00A95316" w:rsidRPr="008F4EB0" w:rsidRDefault="00A95316" w:rsidP="00A95316">
      <w:pPr>
        <w:widowControl/>
        <w:autoSpaceDE/>
        <w:autoSpaceDN/>
        <w:ind w:right="855"/>
        <w:jc w:val="both"/>
        <w:rPr>
          <w:rFonts w:ascii="Times New Roman" w:eastAsiaTheme="minorHAnsi" w:hAnsi="Times New Roman" w:cs="Times New Roman"/>
          <w:kern w:val="2"/>
          <w:sz w:val="24"/>
          <w:szCs w:val="24"/>
          <w14:ligatures w14:val="standardContextual"/>
        </w:rPr>
      </w:pPr>
    </w:p>
    <w:p w14:paraId="433F1D42" w14:textId="77777777" w:rsidR="00A95316" w:rsidRPr="008F4EB0" w:rsidRDefault="00A95316" w:rsidP="00A95316">
      <w:pPr>
        <w:widowControl/>
        <w:numPr>
          <w:ilvl w:val="0"/>
          <w:numId w:val="1"/>
        </w:numPr>
        <w:autoSpaceDE/>
        <w:autoSpaceDN/>
        <w:spacing w:after="160" w:line="259" w:lineRule="auto"/>
        <w:ind w:right="855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OCJENA STANJA:</w:t>
      </w:r>
    </w:p>
    <w:p w14:paraId="675257F9" w14:textId="77777777" w:rsidR="00A95316" w:rsidRPr="008F4EB0" w:rsidRDefault="00A95316" w:rsidP="00A95316">
      <w:pPr>
        <w:widowControl/>
        <w:autoSpaceDE/>
        <w:autoSpaceDN/>
        <w:ind w:left="720" w:right="85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Analiza stanja provedena u Strategiji pokazuje da Općina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raspolaže značajnim, ali nedovoljno aktiviranim imovinskim portfeljem, koji uključuje građevinska i poljoprivredna zemljišta, šume, poslovne prostore i komunalnu infrastrukturu.</w:t>
      </w:r>
    </w:p>
    <w:p w14:paraId="5D05D3FB" w14:textId="77777777" w:rsidR="00A95316" w:rsidRPr="008F4EB0" w:rsidRDefault="00A95316" w:rsidP="00A95316">
      <w:pPr>
        <w:widowControl/>
        <w:autoSpaceDE/>
        <w:autoSpaceDN/>
        <w:ind w:left="720" w:right="85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Utvrđeni su sljedeći ključni problemi:</w:t>
      </w:r>
    </w:p>
    <w:p w14:paraId="43A22CEF" w14:textId="77777777" w:rsidR="00A95316" w:rsidRPr="008F4EB0" w:rsidRDefault="00A95316" w:rsidP="00A95316">
      <w:pPr>
        <w:widowControl/>
        <w:numPr>
          <w:ilvl w:val="0"/>
          <w:numId w:val="3"/>
        </w:numPr>
        <w:autoSpaceDE/>
        <w:autoSpaceDN/>
        <w:spacing w:after="160" w:line="259" w:lineRule="auto"/>
        <w:ind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nesređeni zemljišnoknjižni i katastarski upisi,</w:t>
      </w:r>
    </w:p>
    <w:p w14:paraId="3FA2A41E" w14:textId="77777777" w:rsidR="00A95316" w:rsidRPr="008F4EB0" w:rsidRDefault="00A95316" w:rsidP="00A95316">
      <w:pPr>
        <w:widowControl/>
        <w:numPr>
          <w:ilvl w:val="0"/>
          <w:numId w:val="3"/>
        </w:numPr>
        <w:autoSpaceDE/>
        <w:autoSpaceDN/>
        <w:spacing w:after="160" w:line="259" w:lineRule="auto"/>
        <w:ind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postojanje seoskih imovinskih zajednica i neriješenih imovinskopravnih odnosa,</w:t>
      </w:r>
    </w:p>
    <w:p w14:paraId="5D7EDDD3" w14:textId="77777777" w:rsidR="00A95316" w:rsidRPr="008F4EB0" w:rsidRDefault="00A95316" w:rsidP="00A95316">
      <w:pPr>
        <w:widowControl/>
        <w:numPr>
          <w:ilvl w:val="0"/>
          <w:numId w:val="3"/>
        </w:numPr>
        <w:autoSpaceDE/>
        <w:autoSpaceDN/>
        <w:spacing w:after="160" w:line="259" w:lineRule="auto"/>
        <w:ind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neujednačeno stanje javnih registara,</w:t>
      </w:r>
    </w:p>
    <w:p w14:paraId="6710DA11" w14:textId="77777777" w:rsidR="00A95316" w:rsidRPr="008F4EB0" w:rsidRDefault="00A95316" w:rsidP="00A95316">
      <w:pPr>
        <w:widowControl/>
        <w:numPr>
          <w:ilvl w:val="0"/>
          <w:numId w:val="3"/>
        </w:numPr>
        <w:autoSpaceDE/>
        <w:autoSpaceDN/>
        <w:spacing w:after="160" w:line="259" w:lineRule="auto"/>
        <w:ind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dio imovine bez utvrđene tržišne vrijednosti,</w:t>
      </w:r>
    </w:p>
    <w:p w14:paraId="0C8AA608" w14:textId="77777777" w:rsidR="00A95316" w:rsidRPr="008F4EB0" w:rsidRDefault="00A95316" w:rsidP="00A95316">
      <w:pPr>
        <w:widowControl/>
        <w:numPr>
          <w:ilvl w:val="0"/>
          <w:numId w:val="3"/>
        </w:numPr>
        <w:autoSpaceDE/>
        <w:autoSpaceDN/>
        <w:spacing w:after="160" w:line="259" w:lineRule="auto"/>
        <w:ind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neaktivna i neiskorištena imovina,</w:t>
      </w:r>
    </w:p>
    <w:p w14:paraId="3E102AF1" w14:textId="77777777" w:rsidR="00A95316" w:rsidRPr="008F4EB0" w:rsidRDefault="00A95316" w:rsidP="00A95316">
      <w:pPr>
        <w:widowControl/>
        <w:numPr>
          <w:ilvl w:val="0"/>
          <w:numId w:val="3"/>
        </w:numPr>
        <w:autoSpaceDE/>
        <w:autoSpaceDN/>
        <w:spacing w:after="160" w:line="259" w:lineRule="auto"/>
        <w:ind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ograničeni administrativni i financijski kapaciteti za upravljanje imovinom.</w:t>
      </w:r>
    </w:p>
    <w:p w14:paraId="0D4C3592" w14:textId="77777777" w:rsidR="00A95316" w:rsidRPr="008F4EB0" w:rsidRDefault="00A95316" w:rsidP="00A95316">
      <w:pPr>
        <w:widowControl/>
        <w:autoSpaceDE/>
        <w:autoSpaceDN/>
        <w:ind w:left="720" w:right="85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Strategija utvrđuje da je za učinkovito upravljanje imovinom nužno uspostaviti sustavan, predvidljiv i pravno utemeljen okvir, koji će omogućiti aktiviranje općinskih resursa i njihovo korištenje u interesu lokalne zajednice </w:t>
      </w:r>
    </w:p>
    <w:p w14:paraId="3FAFE999" w14:textId="77777777" w:rsidR="00A95316" w:rsidRPr="008F4EB0" w:rsidRDefault="00A95316" w:rsidP="00A95316">
      <w:pPr>
        <w:widowControl/>
        <w:autoSpaceDE/>
        <w:autoSpaceDN/>
        <w:ind w:right="855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AA157F7" w14:textId="77777777" w:rsidR="00A95316" w:rsidRPr="008F4EB0" w:rsidRDefault="00A95316" w:rsidP="00A95316">
      <w:pPr>
        <w:widowControl/>
        <w:numPr>
          <w:ilvl w:val="0"/>
          <w:numId w:val="1"/>
        </w:numPr>
        <w:autoSpaceDE/>
        <w:autoSpaceDN/>
        <w:spacing w:after="160" w:line="259" w:lineRule="auto"/>
        <w:ind w:left="709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PITANJA KOJA SE UREĐUJU AKTOM:</w:t>
      </w:r>
    </w:p>
    <w:p w14:paraId="7AB88035" w14:textId="77777777" w:rsidR="00A95316" w:rsidRPr="008F4EB0" w:rsidRDefault="00A95316" w:rsidP="00A95316">
      <w:pPr>
        <w:widowControl/>
        <w:autoSpaceDE/>
        <w:autoSpaceDN/>
        <w:ind w:left="1418" w:right="855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Ovom Odlukom donosi se Strategija, a Strategijom se uređuje:</w:t>
      </w:r>
    </w:p>
    <w:p w14:paraId="131B7D86" w14:textId="77777777" w:rsidR="00A95316" w:rsidRPr="008F4EB0" w:rsidRDefault="00A95316" w:rsidP="00A95316">
      <w:pPr>
        <w:widowControl/>
        <w:numPr>
          <w:ilvl w:val="0"/>
          <w:numId w:val="2"/>
        </w:numPr>
        <w:autoSpaceDE/>
        <w:autoSpaceDN/>
        <w:spacing w:after="160" w:line="259" w:lineRule="auto"/>
        <w:ind w:left="1418"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lastRenderedPageBreak/>
        <w:t xml:space="preserve">dugoročni cilj gospodarskog, transparentnog i odgovornog upravljanja imovinom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</w:p>
    <w:p w14:paraId="20AB325B" w14:textId="77777777" w:rsidR="00A95316" w:rsidRPr="008F4EB0" w:rsidRDefault="00A95316" w:rsidP="00A95316">
      <w:pPr>
        <w:widowControl/>
        <w:numPr>
          <w:ilvl w:val="0"/>
          <w:numId w:val="2"/>
        </w:numPr>
        <w:autoSpaceDE/>
        <w:autoSpaceDN/>
        <w:spacing w:after="160" w:line="259" w:lineRule="auto"/>
        <w:ind w:left="1418"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posebni ciljevi i prioriteti za razdoblje 2026.–2032. godine, uključujući uređenje zemljišnoknjižnog stanja, ažuriranje Registra imovine, vrednovanje i optimalno korištenje imovine,</w:t>
      </w:r>
    </w:p>
    <w:p w14:paraId="62B79B22" w14:textId="77777777" w:rsidR="00A95316" w:rsidRPr="008F4EB0" w:rsidRDefault="00A95316" w:rsidP="00A95316">
      <w:pPr>
        <w:widowControl/>
        <w:numPr>
          <w:ilvl w:val="0"/>
          <w:numId w:val="2"/>
        </w:numPr>
        <w:autoSpaceDE/>
        <w:autoSpaceDN/>
        <w:spacing w:after="160" w:line="259" w:lineRule="auto"/>
        <w:ind w:left="1418"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smjernice za raspolaganje imovinom na temelju načela javnosti, učinkovitosti i ekonomske opravdanosti,</w:t>
      </w:r>
    </w:p>
    <w:p w14:paraId="38C74B88" w14:textId="77777777" w:rsidR="00A95316" w:rsidRPr="008F4EB0" w:rsidRDefault="00A95316" w:rsidP="00A95316">
      <w:pPr>
        <w:widowControl/>
        <w:numPr>
          <w:ilvl w:val="0"/>
          <w:numId w:val="2"/>
        </w:numPr>
        <w:autoSpaceDE/>
        <w:autoSpaceDN/>
        <w:spacing w:after="160" w:line="259" w:lineRule="auto"/>
        <w:ind w:left="1418" w:right="8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okvir za izradu godišnjih planova upravljanja i raspolaganja imovinom te provođenje nadzora nad korištenjem imovine.</w:t>
      </w:r>
    </w:p>
    <w:p w14:paraId="50A974A0" w14:textId="77777777" w:rsidR="00A95316" w:rsidRPr="008F4EB0" w:rsidRDefault="00A95316" w:rsidP="00A95316">
      <w:pPr>
        <w:widowControl/>
        <w:autoSpaceDE/>
        <w:autoSpaceDN/>
        <w:ind w:left="709" w:right="85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Strategija predstavlja krovni dokument razvoja sustava upravljanja imovinom i temelj za donošenje budućih odluka o stjecanju, raspolaganju i korištenju nekretnina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0FEBFE43" w14:textId="77777777" w:rsidR="00A95316" w:rsidRPr="008F4EB0" w:rsidRDefault="00A95316" w:rsidP="00A95316">
      <w:pPr>
        <w:widowControl/>
        <w:autoSpaceDE/>
        <w:autoSpaceDN/>
        <w:ind w:right="855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B860589" w14:textId="77777777" w:rsidR="00A95316" w:rsidRPr="008F4EB0" w:rsidRDefault="00A95316" w:rsidP="00A95316">
      <w:pPr>
        <w:widowControl/>
        <w:numPr>
          <w:ilvl w:val="0"/>
          <w:numId w:val="1"/>
        </w:numPr>
        <w:autoSpaceDE/>
        <w:autoSpaceDN/>
        <w:spacing w:after="160" w:line="259" w:lineRule="auto"/>
        <w:ind w:hanging="153"/>
        <w:contextualSpacing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FINANCIJSKA SREDSTVA POTREBNA ZA PROVEDBU AKTA:</w:t>
      </w:r>
    </w:p>
    <w:p w14:paraId="0F8F57A0" w14:textId="77777777" w:rsidR="00A95316" w:rsidRPr="008F4EB0" w:rsidRDefault="00A95316" w:rsidP="00A95316">
      <w:pPr>
        <w:widowControl/>
        <w:autoSpaceDE/>
        <w:autoSpaceDN/>
        <w:ind w:left="851" w:right="85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 provedbu ove Odluke i Strategije nije potrebno osigurati dodatna financijska sredstva iz Proračuna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09215C89" w14:textId="77777777" w:rsidR="00A95316" w:rsidRPr="008F4EB0" w:rsidRDefault="00A95316" w:rsidP="00A95316">
      <w:pPr>
        <w:widowControl/>
        <w:tabs>
          <w:tab w:val="left" w:pos="9781"/>
        </w:tabs>
        <w:autoSpaceDE/>
        <w:autoSpaceDN/>
        <w:ind w:left="851" w:right="713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Pojedine aktivnosti, poput procjene vrijednosti nekretnina, geodetskih radova, usklađivanja zemljišnoknjižnog stanja, vođenja Registra imovine i izrade godišnjih planova, financirat će se u skladu s mogućnostima i godišnjim proračunom Općine </w:t>
      </w:r>
      <w:proofErr w:type="spellStart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Lanišće</w:t>
      </w:r>
      <w:proofErr w:type="spellEnd"/>
      <w:r w:rsidRPr="008F4EB0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5FE7AB37" w14:textId="77777777" w:rsidR="00A95316" w:rsidRPr="008F4EB0" w:rsidRDefault="00A95316" w:rsidP="00A95316">
      <w:pPr>
        <w:widowControl/>
        <w:autoSpaceDE/>
        <w:autoSpaceDN/>
        <w:rPr>
          <w:rFonts w:ascii="Times New Roman" w:eastAsia="Calibri" w:hAnsi="Times New Roman" w:cs="Times New Roman"/>
          <w:sz w:val="24"/>
          <w:szCs w:val="24"/>
        </w:rPr>
      </w:pPr>
    </w:p>
    <w:p w14:paraId="55A046B4" w14:textId="77777777" w:rsidR="00A95316" w:rsidRPr="008F4EB0" w:rsidRDefault="00A95316" w:rsidP="00A95316">
      <w:pPr>
        <w:widowControl/>
        <w:autoSpaceDE/>
        <w:autoSpaceDN/>
        <w:rPr>
          <w:rFonts w:ascii="Times New Roman" w:eastAsia="Calibri" w:hAnsi="Times New Roman" w:cs="Times New Roman"/>
          <w:sz w:val="24"/>
          <w:szCs w:val="24"/>
        </w:rPr>
      </w:pPr>
    </w:p>
    <w:p w14:paraId="00C54C8C" w14:textId="77777777" w:rsidR="00A95316" w:rsidRPr="008F4EB0" w:rsidRDefault="00A95316" w:rsidP="00A95316">
      <w:pPr>
        <w:widowControl/>
        <w:autoSpaceDE/>
        <w:autoSpaceDN/>
        <w:ind w:left="3969" w:right="855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4EB0">
        <w:rPr>
          <w:rFonts w:ascii="Times New Roman" w:eastAsia="Calibri" w:hAnsi="Times New Roman" w:cs="Times New Roman"/>
          <w:b/>
          <w:bCs/>
          <w:sz w:val="24"/>
          <w:szCs w:val="24"/>
        </w:rPr>
        <w:t>Jedinstveni upravni odjel</w:t>
      </w:r>
    </w:p>
    <w:p w14:paraId="2CE11E81" w14:textId="087332E3" w:rsidR="00122488" w:rsidRDefault="00A95316" w:rsidP="00A95316">
      <w:pPr>
        <w:widowControl/>
        <w:autoSpaceDE/>
        <w:autoSpaceDN/>
        <w:ind w:left="3969" w:right="855"/>
        <w:jc w:val="center"/>
      </w:pPr>
      <w:r w:rsidRPr="008F4EB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Općine </w:t>
      </w:r>
      <w:proofErr w:type="spellStart"/>
      <w:r w:rsidRPr="008F4EB0">
        <w:rPr>
          <w:rFonts w:ascii="Times New Roman" w:eastAsia="Calibri" w:hAnsi="Times New Roman" w:cs="Times New Roman"/>
          <w:b/>
          <w:bCs/>
          <w:sz w:val="24"/>
          <w:szCs w:val="24"/>
        </w:rPr>
        <w:t>Lanišće</w:t>
      </w:r>
      <w:proofErr w:type="spellEnd"/>
    </w:p>
    <w:sectPr w:rsidR="00122488" w:rsidSect="00A95316">
      <w:headerReference w:type="default" r:id="rId5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1F3DF" w14:textId="77777777" w:rsidR="00A95316" w:rsidRPr="0066499D" w:rsidRDefault="00A95316" w:rsidP="0066499D">
    <w:pPr>
      <w:pStyle w:val="Zaglavlje"/>
      <w:jc w:val="right"/>
      <w:rPr>
        <w:rFonts w:ascii="Times New Roman" w:hAnsi="Times New Roman" w:cs="Times New Roman"/>
        <w:i/>
        <w:i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D3B75"/>
    <w:multiLevelType w:val="hybridMultilevel"/>
    <w:tmpl w:val="4942D40A"/>
    <w:lvl w:ilvl="0" w:tplc="71C0524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9919D9"/>
    <w:multiLevelType w:val="hybridMultilevel"/>
    <w:tmpl w:val="8F565744"/>
    <w:lvl w:ilvl="0" w:tplc="71C0524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C00255B"/>
    <w:multiLevelType w:val="hybridMultilevel"/>
    <w:tmpl w:val="818A1186"/>
    <w:lvl w:ilvl="0" w:tplc="71C052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1F5C9F"/>
    <w:multiLevelType w:val="hybridMultilevel"/>
    <w:tmpl w:val="2FB8FD9C"/>
    <w:lvl w:ilvl="0" w:tplc="F524095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3642226">
    <w:abstractNumId w:val="3"/>
  </w:num>
  <w:num w:numId="2" w16cid:durableId="1337995349">
    <w:abstractNumId w:val="2"/>
  </w:num>
  <w:num w:numId="3" w16cid:durableId="518081831">
    <w:abstractNumId w:val="0"/>
  </w:num>
  <w:num w:numId="4" w16cid:durableId="948203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316"/>
    <w:rsid w:val="00122488"/>
    <w:rsid w:val="00182B76"/>
    <w:rsid w:val="001E51B3"/>
    <w:rsid w:val="002249FA"/>
    <w:rsid w:val="005A0AAA"/>
    <w:rsid w:val="006A3687"/>
    <w:rsid w:val="006E30E7"/>
    <w:rsid w:val="00903DC7"/>
    <w:rsid w:val="00924041"/>
    <w:rsid w:val="00A95316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20B35"/>
  <w15:chartTrackingRefBased/>
  <w15:docId w15:val="{94F652DE-29BF-4DF1-AE01-6C094DC8C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31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953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953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953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953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953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953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953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953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953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9531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9531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95316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95316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95316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95316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95316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95316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95316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A953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A95316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953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A95316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A953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A95316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A9531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A9531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953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95316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A95316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95316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A95316"/>
    <w:rPr>
      <w:rFonts w:ascii="Arial" w:eastAsia="Arial" w:hAnsi="Arial" w:cs="Arial"/>
      <w:kern w:val="0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3140</Characters>
  <Application>Microsoft Office Word</Application>
  <DocSecurity>0</DocSecurity>
  <Lines>26</Lines>
  <Paragraphs>7</Paragraphs>
  <ScaleCrop>false</ScaleCrop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2025-10-20T13:43:00Z</dcterms:created>
  <dcterms:modified xsi:type="dcterms:W3CDTF">2025-10-20T13:44:00Z</dcterms:modified>
</cp:coreProperties>
</file>